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media/rId84.png" ContentType="image/png"/>
  <Override PartName="/word/media/rId88.png" ContentType="image/png"/>
  <Override PartName="/word/media/rId92.png" ContentType="image/png"/>
  <Override PartName="/word/media/rId96.png" ContentType="image/png"/>
  <Override PartName="/word/media/rId72.png" ContentType="image/png"/>
  <Override PartName="/word/media/rId65.png" ContentType="image/png"/>
  <Override PartName="/word/media/rId53.png" ContentType="image/png"/>
  <Override PartName="/word/media/rId49.png" ContentType="image/png"/>
  <Override PartName="/word/media/rId45.png" ContentType="image/png"/>
  <Override PartName="/word/media/rId22.png" ContentType="image/png"/>
  <Override PartName="/word/media/rId40.png" ContentType="image/png"/>
  <Override PartName="/word/media/rId3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Weekly Assessment for Delta Operations on ESA and CESA-listed Salmonids including Current Delta Hydrologic Conditions</w:t>
      </w:r>
    </w:p>
    <w:p>
      <w:pPr>
        <w:pStyle w:val="Subtitle"/>
      </w:pPr>
      <w:r>
        <w:t xml:space="preserve">Final: Tuesday, January 13, 2026 at 4 PM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r>
        <w:br w:type="page"/>
      </w:r>
    </w:p>
    <w:bookmarkStart w:id="20" w:name="executive-summary"/>
    <w:p>
      <w:pPr>
        <w:pStyle w:val="Heading2"/>
      </w:pPr>
      <w:r>
        <w:t xml:space="preserve">Executive Summary</w:t>
      </w:r>
    </w:p>
    <w:p>
      <w:pPr>
        <w:numPr>
          <w:ilvl w:val="0"/>
          <w:numId w:val="1001"/>
        </w:numPr>
      </w:pPr>
      <w:r>
        <w:t xml:space="preserve">Entrainment management season is</w:t>
      </w:r>
      <w:r>
        <w:t xml:space="preserve"> </w:t>
      </w:r>
      <w:r>
        <w:rPr>
          <w:b/>
          <w:bCs/>
        </w:rPr>
        <w:t xml:space="preserve">active</w:t>
      </w:r>
      <w:r>
        <w:t xml:space="preserve">.</w:t>
      </w:r>
    </w:p>
    <w:p>
      <w:pPr>
        <w:numPr>
          <w:ilvl w:val="0"/>
          <w:numId w:val="1001"/>
        </w:numPr>
      </w:pPr>
      <w:r>
        <w:t xml:space="preserve">Season Loss:</w:t>
      </w:r>
      <w:r>
        <w:t xml:space="preserve"> </w:t>
      </w:r>
      <w:r>
        <w:rPr>
          <w:b/>
          <w:bCs/>
        </w:rPr>
        <w:t xml:space="preserve">0</w:t>
      </w:r>
      <w:r>
        <w:t xml:space="preserve"> </w:t>
      </w:r>
      <w:r>
        <w:t xml:space="preserve">(0.00% of threshold) DNA Winter-run,</w:t>
      </w:r>
      <w:r>
        <w:t xml:space="preserve"> </w:t>
      </w:r>
      <w:r>
        <w:rPr>
          <w:b/>
          <w:bCs/>
        </w:rPr>
        <w:t xml:space="preserve">0</w:t>
      </w:r>
      <w:r>
        <w:t xml:space="preserve"> </w:t>
      </w:r>
      <w:r>
        <w:t xml:space="preserve">(0.00% of threshold) Hatchery Winter-run,</w:t>
      </w:r>
      <w:r>
        <w:t xml:space="preserve"> </w:t>
      </w:r>
      <w:r>
        <w:rPr>
          <w:b/>
          <w:bCs/>
        </w:rPr>
        <w:t xml:space="preserve">43.91</w:t>
      </w:r>
      <w:r>
        <w:t xml:space="preserve"> </w:t>
      </w:r>
      <w:r>
        <w:t xml:space="preserve">(0.83% of threshold) Natural Steelhead,</w:t>
      </w:r>
      <w:r>
        <w:t xml:space="preserve"> </w:t>
      </w:r>
      <w:r>
        <w:rPr>
          <w:b/>
          <w:bCs/>
        </w:rPr>
        <w:t xml:space="preserve">122.07</w:t>
      </w:r>
      <w:r>
        <w:t xml:space="preserve"> </w:t>
      </w:r>
      <w:r>
        <w:t xml:space="preserve">(3.42% of threshold) Hatchery Steelhead, and</w:t>
      </w:r>
      <w:r>
        <w:t xml:space="preserve"> </w:t>
      </w:r>
      <w:r>
        <w:rPr>
          <w:b/>
          <w:bCs/>
        </w:rPr>
        <w:t xml:space="preserve">872.69</w:t>
      </w:r>
      <w:r>
        <w:t xml:space="preserve"> </w:t>
      </w:r>
      <w:r>
        <w:t xml:space="preserve">(10.84% of threshold) Spring-run Surrogates.</w:t>
      </w:r>
    </w:p>
    <w:p>
      <w:pPr>
        <w:numPr>
          <w:ilvl w:val="0"/>
          <w:numId w:val="1001"/>
        </w:numPr>
      </w:pPr>
      <w:r>
        <w:t xml:space="preserve">Winter-run presence in the Delta is</w:t>
      </w:r>
      <w:r>
        <w:t xml:space="preserve"> </w:t>
      </w:r>
      <w:r>
        <w:rPr>
          <w:b/>
          <w:bCs/>
        </w:rPr>
        <w:t xml:space="preserve">high</w:t>
      </w:r>
      <w:r>
        <w:t xml:space="preserve"> </w:t>
      </w:r>
      <w:r>
        <w:t xml:space="preserve">(historical peak).</w:t>
      </w:r>
    </w:p>
    <w:p>
      <w:pPr>
        <w:numPr>
          <w:ilvl w:val="0"/>
          <w:numId w:val="1001"/>
        </w:numPr>
      </w:pPr>
      <w:r>
        <w:t xml:space="preserve">Steelhead presence in the Delta is</w:t>
      </w:r>
      <w:r>
        <w:t xml:space="preserve"> </w:t>
      </w:r>
      <w:r>
        <w:rPr>
          <w:b/>
          <w:bCs/>
        </w:rPr>
        <w:t xml:space="preserve">increasing</w:t>
      </w:r>
      <w:r>
        <w:t xml:space="preserve">.</w:t>
      </w:r>
    </w:p>
    <w:p>
      <w:r>
        <w:br w:type="page"/>
      </w:r>
    </w:p>
    <w:bookmarkEnd w:id="20"/>
    <w:bookmarkStart w:id="35" w:name="current-delta-hydrologic-conditions"/>
    <w:p>
      <w:pPr>
        <w:pStyle w:val="Heading2"/>
      </w:pPr>
      <w:r>
        <w:t xml:space="preserve">1 Current Delta Hydrologic Conditions</w:t>
      </w:r>
    </w:p>
    <w:bookmarkStart w:id="21" w:name="operational-and-regulatory-conditions"/>
    <w:p>
      <w:pPr>
        <w:pStyle w:val="Heading3"/>
      </w:pPr>
      <w:r>
        <w:t xml:space="preserve">1.1 Operational and Regulatory Conditions</w:t>
      </w:r>
    </w:p>
    <w:p>
      <w:pPr>
        <w:pStyle w:val="FirstParagraph"/>
      </w:pPr>
      <w:r>
        <w:t xml:space="preserve">Entrainment management is the current controlling factor. See most recent weekly outlook for more information.</w:t>
      </w:r>
    </w:p>
    <w:bookmarkEnd w:id="21"/>
    <w:bookmarkStart w:id="27" w:name="current-conditions"/>
    <w:p>
      <w:pPr>
        <w:pStyle w:val="Heading3"/>
      </w:pPr>
      <w:r>
        <w:t xml:space="preserve">1.2 Current Conditions</w:t>
      </w:r>
    </w:p>
    <w:p>
      <w:pPr>
        <w:pStyle w:val="FirstParagraph"/>
      </w:pPr>
      <w:r>
        <w:t xml:space="preserve">Most recent inflow at Freeport in the Sacramento River and Vernalis in the San Joaquin River is 65,994 and 2,951 cfs respectively. Most recent 1-day, 5-day, and 14-day OMRI measurements were -4,900, -4,909, and -5,061 respectively, and most recent export data were 3,551 for Jones Pumping Plant and 1,734 for Henry O. Banks Pumping Plant.</w:t>
      </w:r>
    </w:p>
    <w:tbl>
      <w:tblPr>
        <w:tblStyle w:val="Table"/>
        <w:tblW w:type="pct" w:w="5000"/>
        <w:tblLayout w:type="fixed"/>
        <w:tblLook w:firstRow="0" w:lastRow="0" w:firstColumn="0" w:lastColumn="0" w:noHBand="0" w:noVBand="0" w:val="0000"/>
      </w:tblPr>
      <w:tblGrid>
        <w:gridCol w:w="7920"/>
      </w:tblGrid>
      <w:tr>
        <w:tc>
          <w:tcPr/>
          <w:bookmarkStart w:id="25" w:name="fig-triggers"/>
          <w:p>
            <w:pPr>
              <w:pStyle w:val="Compact"/>
              <w:jc w:val="center"/>
            </w:pPr>
            <w:r>
              <w:drawing>
                <wp:inline>
                  <wp:extent cx="5943600" cy="4622800"/>
                  <wp:effectExtent b="0" l="0" r="0" t="0"/>
                  <wp:docPr descr="" title="" id="23" name="Picture"/>
                  <a:graphic>
                    <a:graphicData uri="http://schemas.openxmlformats.org/drawingml/2006/picture">
                      <pic:pic>
                        <pic:nvPicPr>
                          <pic:cNvPr descr="combined_delta_chinstlhd_files/figure-docx/fig-triggers-1.png" id="24" name="Picture"/>
                          <pic:cNvPicPr>
                            <a:picLocks noChangeArrowheads="1" noChangeAspect="1"/>
                          </pic:cNvPicPr>
                        </pic:nvPicPr>
                        <pic:blipFill>
                          <a:blip r:embed="rId22"/>
                          <a:stretch>
                            <a:fillRect/>
                          </a:stretch>
                        </pic:blipFill>
                        <pic:spPr bwMode="auto">
                          <a:xfrm>
                            <a:off x="0" y="0"/>
                            <a:ext cx="5943600" cy="4622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1: Operations and Action Summary, WY 2026. The numbers and dashed lines in the OMRI plot indicate different triggers (see Table 1), with shading representing specific action periods. OMRI data (colored lines) calculated by SacPAS, Freeport (FPT) and Vernalis (VNS) flow data from CDEC, and CVP (TRP) and SWP (HRO) exports data from CDEC.</w:t>
            </w:r>
          </w:p>
          <w:bookmarkEnd w:id="25"/>
        </w:tc>
      </w:tr>
    </w:tbl>
    <w:tbl>
      <w:tblPr>
        <w:tblStyle w:val="Table"/>
        <w:tblW w:type="pct" w:w="5000"/>
        <w:tblLayout w:type="fixed"/>
        <w:tblLook w:firstRow="0" w:lastRow="0" w:firstColumn="0" w:lastColumn="0" w:noHBand="0" w:noVBand="0" w:val="0000"/>
      </w:tblPr>
      <w:tblGrid>
        <w:gridCol w:w="7920"/>
      </w:tblGrid>
      <w:tr>
        <w:tc>
          <w:tcPr/>
          <w:bookmarkStart w:id="26" w:name="tbl-triggers"/>
          <w:p>
            <w:pPr>
              <w:jc w:val="center"/>
            </w:pPr>
            <w:pPr>
              <w:jc w:val="left"/>
              <w:spacing w:before="200"/>
              <w:pStyle w:val="ImageCaption"/>
            </w:pPr>
            <w:r>
              <w:t xml:space="preserve">Table 1: Summary of Actions and Triggers, WY 2026</w:t>
            </w:r>
          </w:p>
          <w:tbl>
            <w:tblPr>
              <w:tblStyle w:val="Table"/>
              <w:tblW w:type="pct" w:w="5000"/>
              <w:tblLayout w:type="fixed"/>
              <w:tblLook w:firstRow="1" w:lastRow="0" w:firstColumn="0" w:lastColumn="0" w:noHBand="0" w:noVBand="0" w:val="0020"/>
            </w:tblPr>
            <w:tblGrid>
              <w:gridCol w:w="465"/>
              <w:gridCol w:w="1320"/>
              <w:gridCol w:w="1164"/>
              <w:gridCol w:w="1320"/>
              <w:gridCol w:w="1863"/>
              <w:gridCol w:w="1785"/>
            </w:tblGrid>
            <w:tr>
              <w:trPr>
                <w:tblHeader w:val="on"/>
              </w:trPr>
              <w:tc>
                <w:tcPr/>
                <w:p>
                  <w:pPr>
                    <w:pStyle w:val="Compact"/>
                    <w:jc w:val="left"/>
                    <w:jc w:val="center"/>
                  </w:pPr>
                  <w:r>
                    <w:t xml:space="preserve">Label</w:t>
                  </w:r>
                </w:p>
              </w:tc>
              <w:tc>
                <w:tcPr/>
                <w:p>
                  <w:pPr>
                    <w:pStyle w:val="Compact"/>
                    <w:jc w:val="right"/>
                    <w:jc w:val="center"/>
                  </w:pPr>
                  <w:r>
                    <w:t xml:space="preserve">Action</w:t>
                  </w:r>
                </w:p>
              </w:tc>
              <w:tc>
                <w:tcPr/>
                <w:p>
                  <w:pPr>
                    <w:pStyle w:val="Compact"/>
                    <w:jc w:val="right"/>
                    <w:jc w:val="center"/>
                  </w:pPr>
                  <w:r>
                    <w:t xml:space="preserve">Date Triggered</w:t>
                  </w:r>
                </w:p>
              </w:tc>
              <w:tc>
                <w:tcPr/>
                <w:p>
                  <w:pPr>
                    <w:pStyle w:val="Compact"/>
                    <w:jc w:val="right"/>
                    <w:jc w:val="center"/>
                  </w:pPr>
                  <w:r>
                    <w:t xml:space="preserve">Date Implemented</w:t>
                  </w:r>
                </w:p>
              </w:tc>
              <w:tc>
                <w:tcPr/>
                <w:p>
                  <w:pPr>
                    <w:pStyle w:val="Compact"/>
                    <w:jc w:val="right"/>
                    <w:jc w:val="center"/>
                  </w:pPr>
                  <w:r>
                    <w:t xml:space="preserve">Number Days Implemented</w:t>
                  </w:r>
                </w:p>
              </w:tc>
              <w:tc>
                <w:tcPr/>
                <w:p>
                  <w:pPr>
                    <w:pStyle w:val="Compact"/>
                    <w:jc w:val="right"/>
                    <w:jc w:val="center"/>
                  </w:pPr>
                  <w:r>
                    <w:t xml:space="preserve">Regulation</w:t>
                  </w:r>
                </w:p>
              </w:tc>
            </w:tr>
            <w:tr>
              <w:tc>
                <w:tcPr/>
                <w:p>
                  <w:pPr>
                    <w:pStyle w:val="Compact"/>
                    <w:jc w:val="left"/>
                    <w:jc w:val="center"/>
                  </w:pPr>
                  <w:r>
                    <w:t xml:space="preserve">1</w:t>
                  </w:r>
                </w:p>
              </w:tc>
              <w:tc>
                <w:tcPr/>
                <w:p>
                  <w:pPr>
                    <w:pStyle w:val="Compact"/>
                    <w:jc w:val="right"/>
                    <w:jc w:val="center"/>
                  </w:pPr>
                  <w:r>
                    <w:t xml:space="preserve">DCC Gate Closure</w:t>
                  </w:r>
                </w:p>
              </w:tc>
              <w:tc>
                <w:tcPr/>
                <w:p>
                  <w:pPr>
                    <w:pStyle w:val="Compact"/>
                    <w:jc w:val="right"/>
                    <w:jc w:val="center"/>
                  </w:pPr>
                  <w:r>
                    <w:t xml:space="preserve">10/28/2025</w:t>
                  </w:r>
                </w:p>
              </w:tc>
              <w:tc>
                <w:tcPr/>
                <w:p>
                  <w:pPr>
                    <w:pStyle w:val="Compact"/>
                    <w:jc w:val="right"/>
                    <w:jc w:val="center"/>
                  </w:pPr>
                  <w:r>
                    <w:t xml:space="preserve">2025-10-30</w:t>
                  </w:r>
                </w:p>
              </w:tc>
              <w:tc>
                <w:tcPr/>
                <w:p>
                  <w:pPr>
                    <w:pStyle w:val="Compact"/>
                    <w:jc w:val="right"/>
                    <w:jc w:val="center"/>
                  </w:pPr>
                  <w:r>
                    <w:t xml:space="preserve">Ongoing</w:t>
                  </w:r>
                </w:p>
              </w:tc>
              <w:tc>
                <w:tcPr/>
                <w:p>
                  <w:pPr>
                    <w:pStyle w:val="Compact"/>
                    <w:jc w:val="right"/>
                    <w:jc w:val="center"/>
                  </w:pPr>
                  <w:r>
                    <w:t xml:space="preserve">DCC gates</w:t>
                  </w:r>
                </w:p>
              </w:tc>
            </w:tr>
            <w:tr>
              <w:tc>
                <w:tcPr/>
                <w:p>
                  <w:pPr>
                    <w:pStyle w:val="Compact"/>
                    <w:jc w:val="left"/>
                    <w:jc w:val="center"/>
                  </w:pPr>
                  <w:r>
                    <w:t xml:space="preserve">2</w:t>
                  </w:r>
                </w:p>
              </w:tc>
              <w:tc>
                <w:tcPr/>
                <w:p>
                  <w:pPr>
                    <w:pStyle w:val="Compact"/>
                    <w:jc w:val="right"/>
                    <w:jc w:val="center"/>
                  </w:pPr>
                  <w:r>
                    <w:t xml:space="preserve">First Flush</w:t>
                  </w:r>
                </w:p>
              </w:tc>
              <w:tc>
                <w:tcPr/>
                <w:p>
                  <w:pPr>
                    <w:pStyle w:val="Compact"/>
                    <w:jc w:val="right"/>
                    <w:jc w:val="center"/>
                  </w:pPr>
                  <w:r>
                    <w:t xml:space="preserve">12/24/2025</w:t>
                  </w:r>
                </w:p>
              </w:tc>
              <w:tc>
                <w:tcPr/>
                <w:p>
                  <w:pPr>
                    <w:pStyle w:val="Compact"/>
                    <w:jc w:val="right"/>
                    <w:jc w:val="center"/>
                  </w:pPr>
                  <w:r>
                    <w:t xml:space="preserve">2025-12-25</w:t>
                  </w:r>
                </w:p>
              </w:tc>
              <w:tc>
                <w:tcPr/>
                <w:p>
                  <w:pPr>
                    <w:pStyle w:val="Compact"/>
                    <w:jc w:val="right"/>
                    <w:jc w:val="center"/>
                  </w:pPr>
                  <w:r>
                    <w:t xml:space="preserve">14 days</w:t>
                  </w:r>
                </w:p>
              </w:tc>
              <w:tc>
                <w:tcPr/>
                <w:p>
                  <w:pPr>
                    <w:pStyle w:val="Compact"/>
                    <w:jc w:val="right"/>
                    <w:jc w:val="center"/>
                  </w:pPr>
                  <w:r>
                    <w:t xml:space="preserve">Entrainment Management</w:t>
                  </w:r>
                </w:p>
              </w:tc>
            </w:tr>
          </w:tbl>
          <w:bookmarkEnd w:id="26"/>
          <w:p/>
        </w:tc>
      </w:tr>
    </w:tbl>
    <w:bookmarkEnd w:id="27"/>
    <w:bookmarkStart w:id="34" w:name="zone-of-influence"/>
    <w:p>
      <w:pPr>
        <w:pStyle w:val="Heading3"/>
      </w:pPr>
      <w:r>
        <w:t xml:space="preserve">1.3 Zone of Influence</w:t>
      </w:r>
    </w:p>
    <w:p>
      <w:pPr>
        <w:pStyle w:val="FirstParagraph"/>
      </w:pPr>
      <w:r>
        <w:t xml:space="preserve">Zone of Influence (ZOI) analysis is discussed in detail in the December 22 assessment. Current conditions were queried from most recent Freeport flow data on the Sacramento River and Vernalis flow data on the San Joaquin river from</w:t>
      </w:r>
      <w:r>
        <w:t xml:space="preserve"> </w:t>
      </w:r>
      <w:hyperlink r:id="rId28">
        <w:r>
          <w:rPr>
            <w:rStyle w:val="Hyperlink"/>
          </w:rPr>
          <w:t xml:space="preserve">SacPAS</w:t>
        </w:r>
      </w:hyperlink>
      <w:r>
        <w:t xml:space="preserve">. Forecasted flows were queried from short range deterministic flows provided by the</w:t>
      </w:r>
      <w:r>
        <w:t xml:space="preserve"> </w:t>
      </w:r>
      <w:hyperlink r:id="rId29">
        <w:r>
          <w:rPr>
            <w:rStyle w:val="Hyperlink"/>
          </w:rPr>
          <w:t xml:space="preserve">California Nevada River Forecast Center</w:t>
        </w:r>
      </w:hyperlink>
      <w:r>
        <w:t xml:space="preserve">.</w:t>
      </w:r>
    </w:p>
    <w:p>
      <w:pPr>
        <w:pStyle w:val="BodyText"/>
      </w:pPr>
      <w:r>
        <w:t xml:space="preserve">Current conditions at Freeport and Vernalis indicate that delta hydrology falls within the</w:t>
      </w:r>
      <w:r>
        <w:t xml:space="preserve"> </w:t>
      </w:r>
      <w:r>
        <w:t xml:space="preserve">‘himed’</w:t>
      </w:r>
      <w:r>
        <w:t xml:space="preserve"> </w:t>
      </w:r>
      <w:r>
        <w:t xml:space="preserve">category. Forecasted conditions averaged across the next 7 days falls within the</w:t>
      </w:r>
      <w:r>
        <w:t xml:space="preserve"> </w:t>
      </w:r>
      <w:r>
        <w:t xml:space="preserve">‘himed’</w:t>
      </w:r>
      <w:r>
        <w:t xml:space="preserve"> </w:t>
      </w:r>
      <w:r>
        <w:t xml:space="preserve">category.</w:t>
      </w:r>
    </w:p>
    <w:p>
      <w:pPr>
        <w:pStyle w:val="BodyText"/>
      </w:pPr>
      <w:r>
        <w:t xml:space="preserve">The altered channel length for the current</w:t>
      </w:r>
      <w:r>
        <w:t xml:space="preserve"> </w:t>
      </w:r>
      <w:r>
        <w:t xml:space="preserve">“himed”</w:t>
      </w:r>
      <w:r>
        <w:t xml:space="preserve"> </w:t>
      </w:r>
      <w:r>
        <w:t xml:space="preserve">hydrology is 23, 53, 118 and 111 kilometers (km) across OMR bins of -2000, -3500, -5000 and &lt;-5500 respectively. The altered channel length for forecasted</w:t>
      </w:r>
      <w:r>
        <w:t xml:space="preserve"> </w:t>
      </w:r>
      <w:r>
        <w:t xml:space="preserve">“himed”</w:t>
      </w:r>
      <w:r>
        <w:t xml:space="preserve"> </w:t>
      </w:r>
      <w:r>
        <w:t xml:space="preserve">hydrology is 23, 53, 118 and 111 kilometeres (km) across OMR bins of -2000, -3500, -5000 and &lt;-5500 respectively.</w:t>
      </w:r>
    </w:p>
    <w:p>
      <w:pPr>
        <w:pStyle w:val="BodyText"/>
      </w:pPr>
      <w:r>
        <w:t xml:space="preserve">Change in altered channel length between OMR levels is 88 km for current conditions and 88 km for forecasted conditions indicating that ZOI impacts across OMR scenarios would not change between current and forecasted conditions. Across the nine hydrology bins, changes in altered channel length across OMR scenarios are moderate (between 25th and 75th percentiles) for both current and forecasted hydrology.</w:t>
      </w:r>
    </w:p>
    <w:tbl>
      <w:tblPr>
        <w:tblStyle w:val="Table"/>
        <w:tblW w:type="pct" w:w="5000"/>
        <w:tblLayout w:type="fixed"/>
        <w:tblLook w:firstRow="0" w:lastRow="0" w:firstColumn="0" w:lastColumn="0" w:noHBand="0" w:noVBand="0" w:val="0000"/>
      </w:tblPr>
      <w:tblGrid>
        <w:gridCol w:w="7920"/>
      </w:tblGrid>
      <w:tr>
        <w:tc>
          <w:tcPr/>
          <w:bookmarkStart w:id="33" w:name="fig-zoi_graph"/>
          <w:p>
            <w:pPr>
              <w:pStyle w:val="Compact"/>
              <w:jc w:val="center"/>
            </w:pPr>
            <w:r>
              <w:drawing>
                <wp:inline>
                  <wp:extent cx="5943600" cy="2971800"/>
                  <wp:effectExtent b="0" l="0" r="0" t="0"/>
                  <wp:docPr descr="" title="" id="31" name="Picture"/>
                  <a:graphic>
                    <a:graphicData uri="http://schemas.openxmlformats.org/drawingml/2006/picture">
                      <pic:pic>
                        <pic:nvPicPr>
                          <pic:cNvPr descr="combined_delta_chinstlhd_files/figure-docx/fig-zoi_graph-1.png" id="32" name="Picture"/>
                          <pic:cNvPicPr>
                            <a:picLocks noChangeArrowheads="1" noChangeAspect="1"/>
                          </pic:cNvPicPr>
                        </pic:nvPicPr>
                        <pic:blipFill>
                          <a:blip r:embed="rId30"/>
                          <a:stretch>
                            <a:fillRect/>
                          </a:stretch>
                        </pic:blipFill>
                        <pic:spPr bwMode="auto">
                          <a:xfrm>
                            <a:off x="0" y="0"/>
                            <a:ext cx="5943600" cy="2971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 Modeled Zone of Influence at different OMRI scenarios based on current inflow hydrology (left) and forecasted inflow hydrology (right) from the Sacramento River and San Joaquin River</w:t>
            </w:r>
          </w:p>
          <w:bookmarkEnd w:id="33"/>
        </w:tc>
      </w:tr>
    </w:tbl>
    <w:p>
      <w:r>
        <w:br w:type="page"/>
      </w:r>
    </w:p>
    <w:bookmarkEnd w:id="34"/>
    <w:bookmarkEnd w:id="35"/>
    <w:bookmarkStart w:id="102" w:name="X29b5f33945bac93ce69a4140f075cf8233c41e3"/>
    <w:p>
      <w:pPr>
        <w:pStyle w:val="Heading2"/>
      </w:pPr>
      <w:r>
        <w:t xml:space="preserve">2 Assessment for Delta Operations on Salmonids</w:t>
      </w:r>
    </w:p>
    <w:p>
      <w:pPr>
        <w:pStyle w:val="FirstParagraph"/>
      </w:pPr>
      <w:r>
        <w:t xml:space="preserve">For more detailed data on salmonid conditions in the Delta see corresponding webpage on</w:t>
      </w:r>
      <w:r>
        <w:t xml:space="preserve"> </w:t>
      </w:r>
      <w:hyperlink r:id="rId36">
        <w:r>
          <w:rPr>
            <w:rStyle w:val="Hyperlink"/>
          </w:rPr>
          <w:t xml:space="preserve">SacPAS</w:t>
        </w:r>
      </w:hyperlink>
      <w:r>
        <w:t xml:space="preserve">.</w:t>
      </w:r>
    </w:p>
    <w:bookmarkStart w:id="58" w:name="natural-winter-run-chinook"/>
    <w:p>
      <w:pPr>
        <w:pStyle w:val="Heading3"/>
      </w:pPr>
      <w:r>
        <w:t xml:space="preserve">2.1 Natural Winter-run Chinook</w:t>
      </w:r>
    </w:p>
    <w:bookmarkStart w:id="37" w:name="juvenile-production-estimate"/>
    <w:p>
      <w:pPr>
        <w:pStyle w:val="Heading4"/>
      </w:pPr>
      <w:r>
        <w:t xml:space="preserve">2.1.1 Juvenile Production Estimate</w:t>
      </w:r>
    </w:p>
    <w:p>
      <w:pPr>
        <w:pStyle w:val="FirstParagraph"/>
      </w:pPr>
      <w:r>
        <w:t xml:space="preserve">The Juvenile Production Estimate for winter-run is 1,057,452 for the current water year.</w:t>
      </w:r>
    </w:p>
    <w:bookmarkEnd w:id="37"/>
    <w:bookmarkStart w:id="39" w:name="current-status"/>
    <w:p>
      <w:pPr>
        <w:pStyle w:val="Heading4"/>
      </w:pPr>
      <w:r>
        <w:t xml:space="preserve">2.1.2 Current Status</w:t>
      </w:r>
    </w:p>
    <w:p>
      <w:pPr>
        <w:pStyle w:val="FirstParagraph"/>
      </w:pPr>
      <w:r>
        <w:rPr>
          <w:i/>
          <w:iCs/>
        </w:rPr>
        <w:t xml:space="preserve">Entry Timing</w:t>
      </w:r>
      <w:r>
        <w:t xml:space="preserve"> </w:t>
      </w:r>
      <w:r>
        <w:t xml:space="preserve">- Historically, as of Jan 12, 75% of length-at-date (LAD) winter-run have entered the delta based on Knights Landing RST catch, 2% have exited the delta based on Chipps Island Trawl Catch, and 0% of DNA confirmed winter-run have been salvaged.</w:t>
      </w:r>
    </w:p>
    <w:tbl>
      <w:tblPr>
        <w:tblStyle w:val="Table"/>
        <w:tblW w:type="pct" w:w="5000"/>
        <w:tblLayout w:type="fixed"/>
        <w:tblLook w:firstRow="0" w:lastRow="0" w:firstColumn="0" w:lastColumn="0" w:noHBand="0" w:noVBand="0" w:val="0000"/>
      </w:tblPr>
      <w:tblGrid>
        <w:gridCol w:w="7920"/>
      </w:tblGrid>
      <w:tr>
        <w:tc>
          <w:tcPr/>
          <w:bookmarkStart w:id="38" w:name="tbl-wr_timing_table"/>
          <w:p>
            <w:pPr>
              <w:jc w:val="center"/>
            </w:pPr>
            <w:pPr>
              <w:jc w:val="left"/>
              <w:spacing w:before="200"/>
              <w:pStyle w:val="ImageCaption"/>
            </w:pPr>
            <w:r>
              <w:t xml:space="preserve">Table 2</w:t>
            </w:r>
          </w:p>
          <w:tbl>
            <w:tblPr>
              <w:tblStyle w:val="Table"/>
              <w:tblW w:type="pct" w:w="5000"/>
              <w:tblLayout w:type="fixed"/>
              <w:tblLook w:firstRow="1" w:lastRow="0" w:firstColumn="0" w:lastColumn="0" w:noHBand="0" w:noVBand="0" w:val="0020"/>
            </w:tblPr>
            <w:tblGrid>
              <w:gridCol w:w="2484"/>
              <w:gridCol w:w="1242"/>
              <w:gridCol w:w="621"/>
              <w:gridCol w:w="1035"/>
              <w:gridCol w:w="1087"/>
              <w:gridCol w:w="1035"/>
              <w:gridCol w:w="414"/>
            </w:tblGrid>
            <w:tr>
              <w:trPr>
                <w:tblHeader w:val="on"/>
              </w:trPr>
              <w:tc>
                <w:tcPr/>
                <w:p>
                  <w:pPr>
                    <w:pStyle w:val="Compact"/>
                    <w:jc w:val="left"/>
                    <w:jc w:val="center"/>
                  </w:pPr>
                  <w:r>
                    <w:t xml:space="preserve">Species</w:t>
                  </w:r>
                </w:p>
              </w:tc>
              <w:tc>
                <w:tcPr/>
                <w:p>
                  <w:pPr>
                    <w:pStyle w:val="Compact"/>
                    <w:jc w:val="right"/>
                    <w:jc w:val="center"/>
                  </w:pPr>
                  <w:r>
                    <w:t xml:space="preserve">Red Bluff Diversion Dam</w:t>
                  </w:r>
                </w:p>
              </w:tc>
              <w:tc>
                <w:tcPr/>
                <w:p>
                  <w:pPr>
                    <w:pStyle w:val="Compact"/>
                    <w:jc w:val="right"/>
                    <w:jc w:val="center"/>
                  </w:pPr>
                  <w:r>
                    <w:t xml:space="preserve">Tisdale RST</w:t>
                  </w:r>
                </w:p>
              </w:tc>
              <w:tc>
                <w:tcPr/>
                <w:p>
                  <w:pPr>
                    <w:pStyle w:val="Compact"/>
                    <w:jc w:val="right"/>
                    <w:jc w:val="center"/>
                  </w:pPr>
                  <w:r>
                    <w:t xml:space="preserve">Knights Landing RST</w:t>
                  </w:r>
                </w:p>
              </w:tc>
              <w:tc>
                <w:tcPr/>
                <w:p>
                  <w:pPr>
                    <w:pStyle w:val="Compact"/>
                    <w:jc w:val="right"/>
                    <w:jc w:val="center"/>
                  </w:pPr>
                  <w:r>
                    <w:t xml:space="preserve">Sac Trawl (Sherwood)</w:t>
                  </w:r>
                </w:p>
              </w:tc>
              <w:tc>
                <w:tcPr/>
                <w:p>
                  <w:pPr>
                    <w:pStyle w:val="Compact"/>
                    <w:jc w:val="right"/>
                    <w:jc w:val="center"/>
                  </w:pPr>
                  <w:r>
                    <w:t xml:space="preserve">Chipps Island Trawl</w:t>
                  </w:r>
                </w:p>
              </w:tc>
              <w:tc>
                <w:tcPr/>
                <w:p>
                  <w:pPr>
                    <w:pStyle w:val="Compact"/>
                    <w:jc w:val="right"/>
                    <w:jc w:val="center"/>
                  </w:pPr>
                  <w:r>
                    <w:t xml:space="preserve">Salvage</w:t>
                  </w:r>
                </w:p>
              </w:tc>
            </w:tr>
            <w:tr>
              <w:tc>
                <w:tcPr/>
                <w:p>
                  <w:pPr>
                    <w:pStyle w:val="Compact"/>
                    <w:jc w:val="left"/>
                    <w:jc w:val="center"/>
                  </w:pPr>
                  <w:r>
                    <w:t xml:space="preserve">Chinook, LAD Winter-run, Unclipped</w:t>
                  </w:r>
                </w:p>
              </w:tc>
              <w:tc>
                <w:tcPr/>
                <w:p>
                  <w:pPr>
                    <w:pStyle w:val="Compact"/>
                    <w:jc w:val="right"/>
                    <w:jc w:val="center"/>
                  </w:pPr>
                  <w:r>
                    <w:t xml:space="preserve">98%</w:t>
                  </w:r>
                </w:p>
              </w:tc>
              <w:tc>
                <w:tcPr/>
                <w:p>
                  <w:pPr>
                    <w:pStyle w:val="Compact"/>
                    <w:jc w:val="right"/>
                    <w:jc w:val="center"/>
                  </w:pPr>
                  <w:r>
                    <w:t xml:space="preserve">78%</w:t>
                  </w:r>
                </w:p>
              </w:tc>
              <w:tc>
                <w:tcPr/>
                <w:p>
                  <w:pPr>
                    <w:pStyle w:val="Compact"/>
                    <w:jc w:val="right"/>
                    <w:jc w:val="center"/>
                  </w:pPr>
                  <w:r>
                    <w:t xml:space="preserve">75%</w:t>
                  </w:r>
                </w:p>
              </w:tc>
              <w:tc>
                <w:tcPr/>
                <w:p>
                  <w:pPr>
                    <w:pStyle w:val="Compact"/>
                    <w:jc w:val="right"/>
                    <w:jc w:val="center"/>
                  </w:pPr>
                  <w:r>
                    <w:t xml:space="preserve">38%</w:t>
                  </w:r>
                </w:p>
              </w:tc>
              <w:tc>
                <w:tcPr/>
                <w:p>
                  <w:pPr>
                    <w:pStyle w:val="Compact"/>
                    <w:jc w:val="right"/>
                    <w:jc w:val="center"/>
                  </w:pPr>
                  <w:r>
                    <w:t xml:space="preserve">2%</w:t>
                  </w:r>
                </w:p>
              </w:tc>
              <w:tc>
                <w:tcPr/>
                <w:p>
                  <w:pPr>
                    <w:pStyle w:val="Compact"/>
                    <w:jc w:val="right"/>
                    <w:jc w:val="center"/>
                  </w:pPr>
                  <w:r>
                    <w:t xml:space="preserve">15%</w:t>
                  </w:r>
                </w:p>
              </w:tc>
            </w:tr>
            <w:tr>
              <w:tc>
                <w:tcPr/>
                <w:p>
                  <w:pPr>
                    <w:pStyle w:val="Compact"/>
                    <w:jc w:val="left"/>
                    <w:jc w:val="center"/>
                  </w:pPr>
                  <w:r>
                    <w:t xml:space="preserve">Chinook, DNA Winter-run, Unclipped (Water Year)</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0%</w:t>
                  </w:r>
                </w:p>
              </w:tc>
            </w:tr>
          </w:tbl>
          <w:bookmarkEnd w:id="38"/>
          <w:p/>
        </w:tc>
      </w:tr>
    </w:tbl>
    <w:p>
      <w:pPr>
        <w:pStyle w:val="BodyText"/>
      </w:pPr>
      <w:r>
        <w:rPr>
          <w:i/>
          <w:iCs/>
        </w:rPr>
        <w:t xml:space="preserve">Red Bluff Diversion Dam Passage Estimate</w:t>
      </w:r>
      <w:r>
        <w:t xml:space="preserve"> </w:t>
      </w:r>
      <w:r>
        <w:t xml:space="preserve">- As of Dec 16 estimated passage to date of LAD winter run at Red Bluff Diversion is approximately 3.61 million fish. *</w:t>
      </w:r>
      <w:r>
        <w:t xml:space="preserve"> </w:t>
      </w:r>
      <w:r>
        <w:rPr>
          <w:i/>
          <w:iCs/>
        </w:rPr>
        <w:t xml:space="preserve">Note that outmigration timing overlaps with spring run migrating fish, and true winter-run abundance likely differs from these estimates.</w:t>
      </w:r>
    </w:p>
    <w:p>
      <w:pPr>
        <w:pStyle w:val="BodyText"/>
      </w:pPr>
      <w:r>
        <w:rPr>
          <w:i/>
          <w:iCs/>
        </w:rPr>
        <w:t xml:space="preserve">Delta Monitoring</w:t>
      </w:r>
      <w:r>
        <w:t xml:space="preserve"> </w:t>
      </w:r>
      <w:r>
        <w:t xml:space="preserve">- Total catch of LAD winter run at RSTs at Delta Entry (Tisdale, Knights Landing, Lower Sacramento River) between Dec 30 and Jan 12 is 190 individuals. Total catch at Sacramento Trawl and Beach Seines in the delta between Dec 30 and Jan 12 is 15 individuals. Total catch at Delta Exit at Chipps Island between Dec 30 and Jan 08 is 1 individuals.</w:t>
      </w:r>
    </w:p>
    <w:bookmarkEnd w:id="39"/>
    <w:bookmarkStart w:id="44" w:name="annual-loss"/>
    <w:p>
      <w:pPr>
        <w:pStyle w:val="Heading4"/>
      </w:pPr>
      <w:r>
        <w:t xml:space="preserve">2.1.3 Annual Loss</w:t>
      </w:r>
    </w:p>
    <w:p>
      <w:pPr>
        <w:pStyle w:val="FirstParagraph"/>
      </w:pPr>
      <w:r>
        <w:t xml:space="preserve">The annual Loss threshold for natural winter-run is 1% of the jpe or 10,574.52 fish. As of January 12, cumulative loss of genetically confirmed winter-run is 0 or 0.00% of the annual loss threshold. Cumulative loss in the past 7 days has been 0.</w:t>
      </w:r>
    </w:p>
    <w:tbl>
      <w:tblPr>
        <w:tblStyle w:val="Table"/>
        <w:tblW w:type="pct" w:w="5000"/>
        <w:tblLayout w:type="fixed"/>
        <w:tblLook w:firstRow="0" w:lastRow="0" w:firstColumn="0" w:lastColumn="0" w:noHBand="0" w:noVBand="0" w:val="0000"/>
      </w:tblPr>
      <w:tblGrid>
        <w:gridCol w:w="7920"/>
      </w:tblGrid>
      <w:tr>
        <w:tc>
          <w:tcPr/>
          <w:bookmarkStart w:id="43" w:name="fig-wr_loss"/>
          <w:p>
            <w:pPr>
              <w:pStyle w:val="Compact"/>
              <w:jc w:val="center"/>
            </w:pPr>
            <w:r>
              <w:drawing>
                <wp:inline>
                  <wp:extent cx="4457700" cy="3241963"/>
                  <wp:effectExtent b="0" l="0" r="0" t="0"/>
                  <wp:docPr descr="" title="" id="41" name="Picture"/>
                  <a:graphic>
                    <a:graphicData uri="http://schemas.openxmlformats.org/drawingml/2006/picture">
                      <pic:pic>
                        <pic:nvPicPr>
                          <pic:cNvPr descr="combined_delta_chinstlhd_files/figure-docx/fig-wr_loss-1.png" id="42" name="Picture"/>
                          <pic:cNvPicPr>
                            <a:picLocks noChangeArrowheads="1" noChangeAspect="1"/>
                          </pic:cNvPicPr>
                        </pic:nvPicPr>
                        <pic:blipFill>
                          <a:blip r:embed="rId40"/>
                          <a:stretch>
                            <a:fillRect/>
                          </a:stretch>
                        </pic:blipFill>
                        <pic:spPr bwMode="auto">
                          <a:xfrm>
                            <a:off x="0" y="0"/>
                            <a:ext cx="4457700" cy="3241963"/>
                          </a:xfrm>
                          <a:prstGeom prst="rect">
                            <a:avLst/>
                          </a:prstGeom>
                          <a:noFill/>
                          <a:ln w="9525">
                            <a:noFill/>
                            <a:headEnd/>
                            <a:tailEnd/>
                          </a:ln>
                        </pic:spPr>
                      </pic:pic>
                    </a:graphicData>
                  </a:graphic>
                </wp:inline>
              </w:drawing>
            </w:r>
          </w:p>
          <w:p>
            <w:pPr>
              <w:jc w:val="center"/>
            </w:pPr>
            <w:pPr>
              <w:jc w:val="left"/>
              <w:spacing w:before="200"/>
              <w:pStyle w:val="ImageCaption"/>
            </w:pPr>
            <w:r>
              <w:t xml:space="preserve">Figure 3: Cumulative loss of natural-origin winter-run for WY 2026. Cumulative loss is based on genetically confirmed winter-run captured in salvage or length-at-date winter-run in which genetic confirmation was unable to be obtained</w:t>
            </w:r>
          </w:p>
          <w:bookmarkEnd w:id="43"/>
        </w:tc>
      </w:tr>
    </w:tbl>
    <w:bookmarkEnd w:id="44"/>
    <w:bookmarkStart w:id="57" w:name="stars"/>
    <w:p>
      <w:pPr>
        <w:pStyle w:val="Heading4"/>
      </w:pPr>
      <w:r>
        <w:t xml:space="preserve">2.1.4 STARS</w:t>
      </w:r>
    </w:p>
    <w:p>
      <w:pPr>
        <w:pStyle w:val="FirstParagraph"/>
      </w:pPr>
      <w:r>
        <w:t xml:space="preserve">The Delta STARS Model is an individual-based simulation model that predicts survival, travel time, and routing of juvenile salmon migrating through the Sacramento–San Joaquin River Delta. This model gives insight into survival and routing patterns of winter-run based on most current conditions.</w:t>
      </w:r>
    </w:p>
    <w:p>
      <w:pPr>
        <w:pStyle w:val="BodyText"/>
      </w:pPr>
      <w:r>
        <w:t xml:space="preserve">As of January 12, overall through delta STARS estimated survival probability (with 80% credible intervals) is 0.73 (0.66-0.8) placing it in the 94th percentile of historical STARS survival estimates for the month of January (WYs 2018-2025). STARS estimated routing and survival probabilities (with 80% credible intervals) into the interior delta are 0.09 (0.08-0.11) and 0.61 (0.45-0.76), respectively, corresponding to the 6th and 90th percentiles of historical January estimates (WYs 2018-2025).</w:t>
      </w:r>
    </w:p>
    <w:tbl>
      <w:tblPr>
        <w:tblStyle w:val="Table"/>
        <w:tblW w:type="pct" w:w="5000"/>
        <w:tblLayout w:type="fixed"/>
        <w:tblLook w:firstRow="0" w:lastRow="0" w:firstColumn="0" w:lastColumn="0" w:noHBand="0" w:noVBand="0" w:val="0000"/>
      </w:tblPr>
      <w:tblGrid>
        <w:gridCol w:w="7920"/>
      </w:tblGrid>
      <w:tr>
        <w:tc>
          <w:tcPr/>
          <w:bookmarkStart w:id="48" w:name="fig-stars_survival"/>
          <w:p>
            <w:pPr>
              <w:pStyle w:val="Compact"/>
              <w:jc w:val="center"/>
            </w:pPr>
            <w:r>
              <w:drawing>
                <wp:inline>
                  <wp:extent cx="4457700" cy="2971800"/>
                  <wp:effectExtent b="0" l="0" r="0" t="0"/>
                  <wp:docPr descr="" title="" id="46" name="Picture"/>
                  <a:graphic>
                    <a:graphicData uri="http://schemas.openxmlformats.org/drawingml/2006/picture">
                      <pic:pic>
                        <pic:nvPicPr>
                          <pic:cNvPr descr="combined_delta_chinstlhd_files/figure-docx/fig-stars_survival-1.png" id="47" name="Picture"/>
                          <pic:cNvPicPr>
                            <a:picLocks noChangeArrowheads="1" noChangeAspect="1"/>
                          </pic:cNvPicPr>
                        </pic:nvPicPr>
                        <pic:blipFill>
                          <a:blip r:embed="rId45"/>
                          <a:stretch>
                            <a:fillRect/>
                          </a:stretch>
                        </pic:blipFill>
                        <pic:spPr bwMode="auto">
                          <a:xfrm>
                            <a:off x="0" y="0"/>
                            <a:ext cx="4457700" cy="2971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4: Estimated overall winter-run survival from Knights Landing to Chipps Island. Black line indicates the current water-year, and other colored lines correspond to past water years.</w:t>
            </w:r>
          </w:p>
          <w:bookmarkEnd w:id="48"/>
        </w:tc>
      </w:tr>
    </w:tbl>
    <w:tbl>
      <w:tblPr>
        <w:tblStyle w:val="Table"/>
        <w:tblW w:type="pct" w:w="5000"/>
        <w:tblLayout w:type="fixed"/>
        <w:tblLook w:firstRow="0" w:lastRow="0" w:firstColumn="0" w:lastColumn="0" w:noHBand="0" w:noVBand="0" w:val="0000"/>
      </w:tblPr>
      <w:tblGrid>
        <w:gridCol w:w="7920"/>
      </w:tblGrid>
      <w:tr>
        <w:tc>
          <w:tcPr/>
          <w:bookmarkStart w:id="52" w:name="fig-stars_id_survival"/>
          <w:p>
            <w:pPr>
              <w:pStyle w:val="Compact"/>
              <w:jc w:val="center"/>
            </w:pPr>
            <w:r>
              <w:drawing>
                <wp:inline>
                  <wp:extent cx="4457700" cy="2971800"/>
                  <wp:effectExtent b="0" l="0" r="0" t="0"/>
                  <wp:docPr descr="" title="" id="50" name="Picture"/>
                  <a:graphic>
                    <a:graphicData uri="http://schemas.openxmlformats.org/drawingml/2006/picture">
                      <pic:pic>
                        <pic:nvPicPr>
                          <pic:cNvPr descr="combined_delta_chinstlhd_files/figure-docx/fig-stars_id_survival-1.png" id="51" name="Picture"/>
                          <pic:cNvPicPr>
                            <a:picLocks noChangeArrowheads="1" noChangeAspect="1"/>
                          </pic:cNvPicPr>
                        </pic:nvPicPr>
                        <pic:blipFill>
                          <a:blip r:embed="rId49"/>
                          <a:stretch>
                            <a:fillRect/>
                          </a:stretch>
                        </pic:blipFill>
                        <pic:spPr bwMode="auto">
                          <a:xfrm>
                            <a:off x="0" y="0"/>
                            <a:ext cx="4457700" cy="2971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5: Estimated survival from Knights Landing to Chipps Island of simulate winter-run cohorts that route through the interior delta. Black line indicates the current water-year, and other colored lines correspond to past water years.</w:t>
            </w:r>
          </w:p>
          <w:bookmarkEnd w:id="52"/>
        </w:tc>
      </w:tr>
    </w:tbl>
    <w:tbl>
      <w:tblPr>
        <w:tblStyle w:val="Table"/>
        <w:tblW w:type="pct" w:w="5000"/>
        <w:tblLayout w:type="fixed"/>
        <w:tblLook w:firstRow="0" w:lastRow="0" w:firstColumn="0" w:lastColumn="0" w:noHBand="0" w:noVBand="0" w:val="0000"/>
      </w:tblPr>
      <w:tblGrid>
        <w:gridCol w:w="7920"/>
      </w:tblGrid>
      <w:tr>
        <w:tc>
          <w:tcPr/>
          <w:bookmarkStart w:id="56" w:name="fig-stars_id_routing"/>
          <w:p>
            <w:pPr>
              <w:pStyle w:val="Compact"/>
              <w:jc w:val="center"/>
            </w:pPr>
            <w:r>
              <w:drawing>
                <wp:inline>
                  <wp:extent cx="4457700" cy="2971800"/>
                  <wp:effectExtent b="0" l="0" r="0" t="0"/>
                  <wp:docPr descr="" title="" id="54" name="Picture"/>
                  <a:graphic>
                    <a:graphicData uri="http://schemas.openxmlformats.org/drawingml/2006/picture">
                      <pic:pic>
                        <pic:nvPicPr>
                          <pic:cNvPr descr="combined_delta_chinstlhd_files/figure-docx/fig-stars_id_routing-1.png" id="55" name="Picture"/>
                          <pic:cNvPicPr>
                            <a:picLocks noChangeArrowheads="1" noChangeAspect="1"/>
                          </pic:cNvPicPr>
                        </pic:nvPicPr>
                        <pic:blipFill>
                          <a:blip r:embed="rId53"/>
                          <a:stretch>
                            <a:fillRect/>
                          </a:stretch>
                        </pic:blipFill>
                        <pic:spPr bwMode="auto">
                          <a:xfrm>
                            <a:off x="0" y="0"/>
                            <a:ext cx="4457700" cy="2971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 Estimated probability of winter-run routing into the interior delta. Black line indicates the current water-year, and other colored lines correspond to past water years.</w:t>
            </w:r>
          </w:p>
          <w:bookmarkEnd w:id="56"/>
        </w:tc>
      </w:tr>
    </w:tbl>
    <w:bookmarkEnd w:id="57"/>
    <w:bookmarkEnd w:id="58"/>
    <w:bookmarkStart w:id="62" w:name="hatchery-winter-run-chinook"/>
    <w:p>
      <w:pPr>
        <w:pStyle w:val="Heading3"/>
      </w:pPr>
      <w:r>
        <w:t xml:space="preserve">2.2 Hatchery Winter-run Chinook</w:t>
      </w:r>
    </w:p>
    <w:bookmarkStart w:id="59" w:name="hatchery-releases"/>
    <w:p>
      <w:pPr>
        <w:pStyle w:val="Heading4"/>
      </w:pPr>
      <w:r>
        <w:t xml:space="preserve">2.2.1 Hatchery Releases</w:t>
      </w:r>
    </w:p>
    <w:p>
      <w:pPr>
        <w:pStyle w:val="FirstParagraph"/>
      </w:pPr>
      <w:r>
        <w:t xml:space="preserve">To date, no winter-run Livingstone hatchery releases have occurred in WY 2026</w:t>
      </w:r>
    </w:p>
    <w:bookmarkEnd w:id="59"/>
    <w:bookmarkStart w:id="60" w:name="juvenile-production-estimate-1"/>
    <w:p>
      <w:pPr>
        <w:pStyle w:val="Heading4"/>
      </w:pPr>
      <w:r>
        <w:t xml:space="preserve">2.2.2 Juvenile Production Estimate</w:t>
      </w:r>
    </w:p>
    <w:p>
      <w:pPr>
        <w:pStyle w:val="FirstParagraph"/>
      </w:pPr>
      <w:r>
        <w:t xml:space="preserve">The Juvenile Production Estimate for hatchery winter-run is 130,096 for Livingston Stone releases.</w:t>
      </w:r>
    </w:p>
    <w:bookmarkEnd w:id="60"/>
    <w:bookmarkStart w:id="61" w:name="annual-loss-1"/>
    <w:p>
      <w:pPr>
        <w:pStyle w:val="Heading4"/>
      </w:pPr>
      <w:r>
        <w:t xml:space="preserve">2.2.3 Annual Loss</w:t>
      </w:r>
    </w:p>
    <w:p>
      <w:pPr>
        <w:pStyle w:val="FirstParagraph"/>
      </w:pPr>
      <w:r>
        <w:t xml:space="preserve">To date, no loss has occurred as no hatchery winter-run have been released.</w:t>
      </w:r>
    </w:p>
    <w:bookmarkEnd w:id="61"/>
    <w:bookmarkEnd w:id="62"/>
    <w:bookmarkStart w:id="70" w:name="natural-origin-central-valley-steelhead"/>
    <w:p>
      <w:pPr>
        <w:pStyle w:val="Heading3"/>
      </w:pPr>
      <w:r>
        <w:t xml:space="preserve">2.3 Natural-origin Central Valley Steelhead</w:t>
      </w:r>
    </w:p>
    <w:bookmarkStart w:id="64" w:name="current-status-1"/>
    <w:p>
      <w:pPr>
        <w:pStyle w:val="Heading4"/>
      </w:pPr>
      <w:r>
        <w:t xml:space="preserve">2.3.1 Current Status</w:t>
      </w:r>
    </w:p>
    <w:p>
      <w:pPr>
        <w:pStyle w:val="FirstParagraph"/>
      </w:pPr>
      <w:r>
        <w:rPr>
          <w:i/>
          <w:iCs/>
        </w:rPr>
        <w:t xml:space="preserve">Delta Entry Timing</w:t>
      </w:r>
      <w:r>
        <w:t xml:space="preserve"> </w:t>
      </w:r>
      <w:r>
        <w:t xml:space="preserve">- Historically, as of Jan 12, 16% of CCV steelhead have entered the delta based on Knights Landing RST catch, 1% have exited the delta based on Chipps Island Trawl Catch, and 6% have been salvaged.</w:t>
      </w:r>
    </w:p>
    <w:tbl>
      <w:tblPr>
        <w:tblStyle w:val="Table"/>
        <w:tblW w:type="pct" w:w="5000"/>
        <w:tblLayout w:type="fixed"/>
        <w:tblLook w:firstRow="0" w:lastRow="0" w:firstColumn="0" w:lastColumn="0" w:noHBand="0" w:noVBand="0" w:val="0000"/>
      </w:tblPr>
      <w:tblGrid>
        <w:gridCol w:w="7920"/>
      </w:tblGrid>
      <w:tr>
        <w:tc>
          <w:tcPr/>
          <w:bookmarkStart w:id="63" w:name="tbl-sh_timing_table"/>
          <w:p>
            <w:pPr>
              <w:jc w:val="center"/>
            </w:pPr>
            <w:pPr>
              <w:jc w:val="left"/>
              <w:spacing w:before="200"/>
              <w:pStyle w:val="ImageCaption"/>
            </w:pPr>
            <w:r>
              <w:t xml:space="preserve">Table 3: Average Percent of annual emigrating population for unclipped CCV steelhead captured at the following locations and salvaged at SWP and CVP Delta facilities for the past 10 years.</w:t>
            </w:r>
          </w:p>
          <w:tbl>
            <w:tblPr>
              <w:tblStyle w:val="Table"/>
              <w:tblW w:type="pct" w:w="5000"/>
              <w:tblLayout w:type="fixed"/>
              <w:tblLook w:firstRow="1" w:lastRow="0" w:firstColumn="0" w:lastColumn="0" w:noHBand="0" w:noVBand="0" w:val="0020"/>
            </w:tblPr>
            <w:tblGrid>
              <w:gridCol w:w="1320"/>
              <w:gridCol w:w="1508"/>
              <w:gridCol w:w="754"/>
              <w:gridCol w:w="1257"/>
              <w:gridCol w:w="1320"/>
              <w:gridCol w:w="1257"/>
              <w:gridCol w:w="502"/>
            </w:tblGrid>
            <w:tr>
              <w:trPr>
                <w:tblHeader w:val="on"/>
              </w:trPr>
              <w:tc>
                <w:tcPr/>
                <w:p>
                  <w:pPr>
                    <w:pStyle w:val="Compact"/>
                    <w:jc w:val="left"/>
                    <w:jc w:val="center"/>
                  </w:pPr>
                  <w:r>
                    <w:t xml:space="preserve">Species</w:t>
                  </w:r>
                </w:p>
              </w:tc>
              <w:tc>
                <w:tcPr/>
                <w:p>
                  <w:pPr>
                    <w:pStyle w:val="Compact"/>
                    <w:jc w:val="right"/>
                    <w:jc w:val="center"/>
                  </w:pPr>
                  <w:r>
                    <w:t xml:space="preserve">Red Bluff Diversion Dam</w:t>
                  </w:r>
                </w:p>
              </w:tc>
              <w:tc>
                <w:tcPr/>
                <w:p>
                  <w:pPr>
                    <w:pStyle w:val="Compact"/>
                    <w:jc w:val="right"/>
                    <w:jc w:val="center"/>
                  </w:pPr>
                  <w:r>
                    <w:t xml:space="preserve">Tisdale RST</w:t>
                  </w:r>
                </w:p>
              </w:tc>
              <w:tc>
                <w:tcPr/>
                <w:p>
                  <w:pPr>
                    <w:pStyle w:val="Compact"/>
                    <w:jc w:val="right"/>
                    <w:jc w:val="center"/>
                  </w:pPr>
                  <w:r>
                    <w:t xml:space="preserve">Knights Landing RST</w:t>
                  </w:r>
                </w:p>
              </w:tc>
              <w:tc>
                <w:tcPr/>
                <w:p>
                  <w:pPr>
                    <w:pStyle w:val="Compact"/>
                    <w:jc w:val="right"/>
                    <w:jc w:val="center"/>
                  </w:pPr>
                  <w:r>
                    <w:t xml:space="preserve">Sac Trawl (Sherwood)</w:t>
                  </w:r>
                </w:p>
              </w:tc>
              <w:tc>
                <w:tcPr/>
                <w:p>
                  <w:pPr>
                    <w:pStyle w:val="Compact"/>
                    <w:jc w:val="right"/>
                    <w:jc w:val="center"/>
                  </w:pPr>
                  <w:r>
                    <w:t xml:space="preserve">Chipps Island Trawl</w:t>
                  </w:r>
                </w:p>
              </w:tc>
              <w:tc>
                <w:tcPr/>
                <w:p>
                  <w:pPr>
                    <w:pStyle w:val="Compact"/>
                    <w:jc w:val="right"/>
                    <w:jc w:val="center"/>
                  </w:pPr>
                  <w:r>
                    <w:t xml:space="preserve">Salvage</w:t>
                  </w:r>
                </w:p>
              </w:tc>
            </w:tr>
            <w:tr>
              <w:tc>
                <w:tcPr/>
                <w:p>
                  <w:pPr>
                    <w:pStyle w:val="Compact"/>
                    <w:jc w:val="left"/>
                    <w:jc w:val="center"/>
                  </w:pPr>
                  <w:r>
                    <w:t xml:space="preserve">Steelhead, Unclipped</w:t>
                  </w:r>
                </w:p>
              </w:tc>
              <w:tc>
                <w:tcPr/>
                <w:p>
                  <w:pPr>
                    <w:pStyle w:val="Compact"/>
                    <w:jc w:val="right"/>
                    <w:jc w:val="center"/>
                  </w:pPr>
                  <w:r>
                    <w:t xml:space="preserve">1%</w:t>
                  </w:r>
                </w:p>
              </w:tc>
              <w:tc>
                <w:tcPr/>
                <w:p>
                  <w:pPr>
                    <w:pStyle w:val="Compact"/>
                    <w:jc w:val="right"/>
                    <w:jc w:val="center"/>
                  </w:pPr>
                  <w:r>
                    <w:t xml:space="preserve">15%</w:t>
                  </w:r>
                </w:p>
              </w:tc>
              <w:tc>
                <w:tcPr/>
                <w:p>
                  <w:pPr>
                    <w:pStyle w:val="Compact"/>
                    <w:jc w:val="right"/>
                    <w:jc w:val="center"/>
                  </w:pPr>
                  <w:r>
                    <w:t xml:space="preserve">16%</w:t>
                  </w:r>
                </w:p>
              </w:tc>
              <w:tc>
                <w:tcPr/>
                <w:p>
                  <w:pPr>
                    <w:pStyle w:val="Compact"/>
                    <w:jc w:val="right"/>
                    <w:jc w:val="center"/>
                  </w:pPr>
                  <w:r>
                    <w:t xml:space="preserve">0%</w:t>
                  </w:r>
                </w:p>
              </w:tc>
              <w:tc>
                <w:tcPr/>
                <w:p>
                  <w:pPr>
                    <w:pStyle w:val="Compact"/>
                    <w:jc w:val="right"/>
                    <w:jc w:val="center"/>
                  </w:pPr>
                  <w:r>
                    <w:t xml:space="preserve">1%</w:t>
                  </w:r>
                </w:p>
              </w:tc>
              <w:tc>
                <w:tcPr/>
                <w:p>
                  <w:pPr>
                    <w:pStyle w:val="Compact"/>
                    <w:jc w:val="right"/>
                    <w:jc w:val="center"/>
                  </w:pPr>
                  <w:r>
                    <w:t xml:space="preserve">6%</w:t>
                  </w:r>
                </w:p>
              </w:tc>
            </w:tr>
          </w:tbl>
          <w:bookmarkEnd w:id="63"/>
          <w:p/>
        </w:tc>
      </w:tr>
    </w:tbl>
    <w:p>
      <w:pPr>
        <w:pStyle w:val="BodyText"/>
      </w:pPr>
      <w:r>
        <w:rPr>
          <w:i/>
          <w:iCs/>
        </w:rPr>
        <w:t xml:space="preserve">Delta Monitoring</w:t>
      </w:r>
      <w:r>
        <w:t xml:space="preserve"> </w:t>
      </w:r>
      <w:r>
        <w:t xml:space="preserve">- Total catch of LAD winter run at RSTs at Delta Entry (Tisdale, Knights Landing, Lower Sacramento River) between Dec 30 and Jan 12 is 0 individuals. Total catch at Sacramento Trawl and Beach Seines in the delta between Dec 30 and Jan 12 is 0 individuals. Total catch at Delta Exit at Chipps Island between Dec 30 and Jan 08 is 0 individuals.</w:t>
      </w:r>
    </w:p>
    <w:bookmarkEnd w:id="64"/>
    <w:bookmarkStart w:id="69" w:name="annual-loss-2"/>
    <w:p>
      <w:pPr>
        <w:pStyle w:val="Heading4"/>
      </w:pPr>
      <w:r>
        <w:t xml:space="preserve">2.3.2 Annual Loss</w:t>
      </w:r>
    </w:p>
    <w:p>
      <w:pPr>
        <w:pStyle w:val="FirstParagraph"/>
      </w:pPr>
      <w:r>
        <w:t xml:space="preserve">As of January 12, cumulative loss of unclipped steelhead is 43.91 or 0.83% of the incidental take limit in the NMFS Biological Opinion. Cumulative loss in the past 7 days has been 97.59.</w:t>
      </w:r>
    </w:p>
    <w:tbl>
      <w:tblPr>
        <w:tblStyle w:val="Table"/>
        <w:tblW w:type="pct" w:w="5000"/>
        <w:tblLayout w:type="fixed"/>
        <w:tblLook w:firstRow="0" w:lastRow="0" w:firstColumn="0" w:lastColumn="0" w:noHBand="0" w:noVBand="0" w:val="0000"/>
      </w:tblPr>
      <w:tblGrid>
        <w:gridCol w:w="7920"/>
      </w:tblGrid>
      <w:tr>
        <w:tc>
          <w:tcPr/>
          <w:bookmarkStart w:id="68" w:name="fig-sh_loss"/>
          <w:p>
            <w:pPr>
              <w:pStyle w:val="Compact"/>
              <w:jc w:val="center"/>
            </w:pPr>
            <w:r>
              <w:drawing>
                <wp:inline>
                  <wp:extent cx="4457700" cy="3241963"/>
                  <wp:effectExtent b="0" l="0" r="0" t="0"/>
                  <wp:docPr descr="" title="" id="66" name="Picture"/>
                  <a:graphic>
                    <a:graphicData uri="http://schemas.openxmlformats.org/drawingml/2006/picture">
                      <pic:pic>
                        <pic:nvPicPr>
                          <pic:cNvPr descr="combined_delta_chinstlhd_files/figure-docx/fig-sh_loss-1.png" id="67" name="Picture"/>
                          <pic:cNvPicPr>
                            <a:picLocks noChangeArrowheads="1" noChangeAspect="1"/>
                          </pic:cNvPicPr>
                        </pic:nvPicPr>
                        <pic:blipFill>
                          <a:blip r:embed="rId65"/>
                          <a:stretch>
                            <a:fillRect/>
                          </a:stretch>
                        </pic:blipFill>
                        <pic:spPr bwMode="auto">
                          <a:xfrm>
                            <a:off x="0" y="0"/>
                            <a:ext cx="4457700" cy="3241963"/>
                          </a:xfrm>
                          <a:prstGeom prst="rect">
                            <a:avLst/>
                          </a:prstGeom>
                          <a:noFill/>
                          <a:ln w="9525">
                            <a:noFill/>
                            <a:headEnd/>
                            <a:tailEnd/>
                          </a:ln>
                        </pic:spPr>
                      </pic:pic>
                    </a:graphicData>
                  </a:graphic>
                </wp:inline>
              </w:drawing>
            </w:r>
          </w:p>
          <w:p>
            <w:pPr>
              <w:jc w:val="center"/>
            </w:pPr>
            <w:pPr>
              <w:jc w:val="left"/>
              <w:spacing w:before="200"/>
              <w:pStyle w:val="ImageCaption"/>
            </w:pPr>
            <w:r>
              <w:t xml:space="preserve">Figure 7: Cumulative loss of natural-origin steelhead for WY 2026.</w:t>
            </w:r>
          </w:p>
          <w:bookmarkEnd w:id="68"/>
        </w:tc>
      </w:tr>
    </w:tbl>
    <w:bookmarkEnd w:id="69"/>
    <w:bookmarkEnd w:id="70"/>
    <w:bookmarkStart w:id="77" w:name="hatchery-origin-central-valley-steelhead"/>
    <w:p>
      <w:pPr>
        <w:pStyle w:val="Heading3"/>
      </w:pPr>
      <w:r>
        <w:t xml:space="preserve">2.4 Hatchery-origin Central Valley Steelhead</w:t>
      </w:r>
    </w:p>
    <w:bookmarkStart w:id="76" w:name="surrogate-releases"/>
    <w:p>
      <w:pPr>
        <w:pStyle w:val="Heading4"/>
      </w:pPr>
      <w:r>
        <w:t xml:space="preserve">2.4.1 Surrogate Releases</w:t>
      </w:r>
    </w:p>
    <w:p>
      <w:pPr>
        <w:pStyle w:val="FirstParagraph"/>
      </w:pPr>
      <w:r>
        <w:t xml:space="preserve">There have been a total of 2 releases totaling 878,848 steelhead in Water Year 2026. JPE for the hatchery releases as of today is 356,526 based on estimated survivals using forecasted water year types (see details in table below). The annual loss threshold, equal to 1% of the JPE, is currently 3565, but is subject to change with additional steelhead releases.</w:t>
      </w:r>
    </w:p>
    <w:tbl>
      <w:tblPr>
        <w:tblStyle w:val="Table"/>
        <w:tblW w:type="pct" w:w="5000"/>
        <w:tblLayout w:type="fixed"/>
        <w:tblLook w:firstRow="0" w:lastRow="0" w:firstColumn="0" w:lastColumn="0" w:noHBand="0" w:noVBand="0" w:val="0000"/>
      </w:tblPr>
      <w:tblGrid>
        <w:gridCol w:w="7920"/>
      </w:tblGrid>
      <w:tr>
        <w:tc>
          <w:tcPr/>
          <w:bookmarkStart w:id="71" w:name="tbl-sh_clipped_table"/>
          <w:p>
            <w:pPr>
              <w:jc w:val="center"/>
            </w:pPr>
            <w:pPr>
              <w:jc w:val="left"/>
              <w:spacing w:before="200"/>
              <w:pStyle w:val="ImageCaption"/>
            </w:pPr>
            <w:r>
              <w:t xml:space="preserve">Table 4: Summary of steelhead hatchery releases in Water Year 2026</w:t>
            </w:r>
          </w:p>
          <w:tbl>
            <w:tblPr>
              <w:tblStyle w:val="Table"/>
              <w:tblW w:type="pct" w:w="5000"/>
              <w:tblLayout w:type="fixed"/>
              <w:tblLook w:firstRow="1" w:lastRow="0" w:firstColumn="0" w:lastColumn="0" w:noHBand="0" w:noVBand="0" w:val="0020"/>
            </w:tblPr>
            <w:tblGrid>
              <w:gridCol w:w="642"/>
              <w:gridCol w:w="1141"/>
              <w:gridCol w:w="1569"/>
              <w:gridCol w:w="1141"/>
              <w:gridCol w:w="1355"/>
              <w:gridCol w:w="2069"/>
            </w:tblGrid>
            <w:tr>
              <w:trPr>
                <w:tblHeader w:val="on"/>
              </w:trPr>
              <w:tc>
                <w:tcPr/>
                <w:p>
                  <w:pPr>
                    <w:pStyle w:val="Compact"/>
                    <w:jc w:val="left"/>
                    <w:jc w:val="center"/>
                  </w:pPr>
                  <w:r>
                    <w:t xml:space="preserve">Hatchery</w:t>
                  </w:r>
                </w:p>
              </w:tc>
              <w:tc>
                <w:tcPr/>
                <w:p>
                  <w:pPr>
                    <w:pStyle w:val="Compact"/>
                    <w:jc w:val="right"/>
                    <w:jc w:val="center"/>
                  </w:pPr>
                  <w:r>
                    <w:t xml:space="preserve">Date of Release</w:t>
                  </w:r>
                </w:p>
              </w:tc>
              <w:tc>
                <w:tcPr/>
                <w:p>
                  <w:pPr>
                    <w:pStyle w:val="Compact"/>
                    <w:jc w:val="right"/>
                    <w:jc w:val="center"/>
                  </w:pPr>
                  <w:r>
                    <w:t xml:space="preserve">Mean Fork Length (mm)</w:t>
                  </w:r>
                </w:p>
              </w:tc>
              <w:tc>
                <w:tcPr/>
                <w:p>
                  <w:pPr>
                    <w:pStyle w:val="Compact"/>
                    <w:jc w:val="right"/>
                    <w:jc w:val="center"/>
                  </w:pPr>
                  <w:r>
                    <w:t xml:space="preserve">Number Released</w:t>
                  </w:r>
                </w:p>
              </w:tc>
              <w:tc>
                <w:tcPr/>
                <w:p>
                  <w:pPr>
                    <w:pStyle w:val="Compact"/>
                    <w:jc w:val="right"/>
                    <w:jc w:val="center"/>
                  </w:pPr>
                  <w:r>
                    <w:t xml:space="preserve">Estimated Survival</w:t>
                  </w:r>
                </w:p>
              </w:tc>
              <w:tc>
                <w:tcPr/>
                <w:p>
                  <w:pPr>
                    <w:pStyle w:val="Compact"/>
                    <w:jc w:val="left"/>
                    <w:jc w:val="center"/>
                  </w:pPr>
                  <w:r>
                    <w:t xml:space="preserve">Juvenile Production Estimate</w:t>
                  </w:r>
                </w:p>
              </w:tc>
            </w:tr>
            <w:tr>
              <w:tc>
                <w:tcPr/>
                <w:p>
                  <w:pPr>
                    <w:pStyle w:val="Compact"/>
                    <w:jc w:val="left"/>
                    <w:jc w:val="center"/>
                  </w:pPr>
                  <w:r>
                    <w:t xml:space="preserve">Nimbus</w:t>
                  </w:r>
                </w:p>
              </w:tc>
              <w:tc>
                <w:tcPr/>
                <w:p>
                  <w:pPr>
                    <w:pStyle w:val="Compact"/>
                    <w:jc w:val="right"/>
                    <w:jc w:val="center"/>
                  </w:pPr>
                  <w:r>
                    <w:t xml:space="preserve">2025-11-02</w:t>
                  </w:r>
                </w:p>
              </w:tc>
              <w:tc>
                <w:tcPr/>
                <w:p>
                  <w:pPr>
                    <w:pStyle w:val="Compact"/>
                    <w:jc w:val="right"/>
                    <w:jc w:val="center"/>
                  </w:pPr>
                  <w:r>
                    <w:t xml:space="preserve">223</w:t>
                  </w:r>
                </w:p>
              </w:tc>
              <w:tc>
                <w:tcPr/>
                <w:p>
                  <w:pPr>
                    <w:pStyle w:val="Compact"/>
                    <w:jc w:val="right"/>
                    <w:jc w:val="center"/>
                  </w:pPr>
                  <w:r>
                    <w:t xml:space="preserve">233,109</w:t>
                  </w:r>
                </w:p>
              </w:tc>
              <w:tc>
                <w:tcPr/>
                <w:p>
                  <w:pPr>
                    <w:pStyle w:val="Compact"/>
                    <w:jc w:val="right"/>
                    <w:jc w:val="center"/>
                  </w:pPr>
                  <w:r>
                    <w:t xml:space="preserve">72%</w:t>
                  </w:r>
                </w:p>
              </w:tc>
              <w:tc>
                <w:tcPr/>
                <w:p>
                  <w:pPr>
                    <w:pStyle w:val="Compact"/>
                    <w:jc w:val="left"/>
                    <w:jc w:val="center"/>
                  </w:pPr>
                  <w:r>
                    <w:t xml:space="preserve">167,838</w:t>
                  </w:r>
                </w:p>
              </w:tc>
            </w:tr>
            <w:tr>
              <w:tc>
                <w:tcPr/>
                <w:p>
                  <w:pPr>
                    <w:pStyle w:val="Compact"/>
                    <w:jc w:val="left"/>
                    <w:jc w:val="center"/>
                  </w:pPr>
                  <w:r>
                    <w:t xml:space="preserve">Coleman</w:t>
                  </w:r>
                </w:p>
              </w:tc>
              <w:tc>
                <w:tcPr/>
                <w:p>
                  <w:pPr>
                    <w:pStyle w:val="Compact"/>
                    <w:jc w:val="right"/>
                    <w:jc w:val="center"/>
                  </w:pPr>
                  <w:r>
                    <w:t xml:space="preserve">2025-12-19</w:t>
                  </w:r>
                </w:p>
              </w:tc>
              <w:tc>
                <w:tcPr/>
                <w:p>
                  <w:pPr>
                    <w:pStyle w:val="Compact"/>
                    <w:jc w:val="right"/>
                    <w:jc w:val="center"/>
                  </w:pPr>
                  <w:r>
                    <w:t xml:space="preserve">195</w:t>
                  </w:r>
                </w:p>
              </w:tc>
              <w:tc>
                <w:tcPr/>
                <w:p>
                  <w:pPr>
                    <w:pStyle w:val="Compact"/>
                    <w:jc w:val="right"/>
                    <w:jc w:val="center"/>
                  </w:pPr>
                  <w:r>
                    <w:t xml:space="preserve">645,739</w:t>
                  </w:r>
                </w:p>
              </w:tc>
              <w:tc>
                <w:tcPr/>
                <w:p>
                  <w:pPr>
                    <w:pStyle w:val="Compact"/>
                    <w:jc w:val="right"/>
                    <w:jc w:val="center"/>
                  </w:pPr>
                  <w:r>
                    <w:t xml:space="preserve">29%</w:t>
                  </w:r>
                </w:p>
              </w:tc>
              <w:tc>
                <w:tcPr/>
                <w:p>
                  <w:pPr>
                    <w:pStyle w:val="Compact"/>
                    <w:jc w:val="left"/>
                    <w:jc w:val="center"/>
                  </w:pPr>
                  <w:r>
                    <w:t xml:space="preserve">188,688</w:t>
                  </w:r>
                </w:p>
              </w:tc>
            </w:tr>
          </w:tbl>
          <w:bookmarkEnd w:id="71"/>
          <w:p/>
        </w:tc>
      </w:tr>
    </w:tbl>
    <w:p>
      <w:pPr>
        <w:pStyle w:val="BodyText"/>
      </w:pPr>
      <w:r>
        <w:t xml:space="preserve">Total loss of hatchery-origin steelhead is 122.07 or 3.42% of the threshold. *Note that hatchery origin of salvaged fish can not be determined at this time and salvage is based on the assumption of similar routing and survival probabilities of individual hatchery releases.</w:t>
      </w:r>
    </w:p>
    <w:tbl>
      <w:tblPr>
        <w:tblStyle w:val="Table"/>
        <w:tblW w:type="pct" w:w="5000"/>
        <w:tblLayout w:type="fixed"/>
        <w:tblLook w:firstRow="0" w:lastRow="0" w:firstColumn="0" w:lastColumn="0" w:noHBand="0" w:noVBand="0" w:val="0000"/>
      </w:tblPr>
      <w:tblGrid>
        <w:gridCol w:w="7920"/>
      </w:tblGrid>
      <w:tr>
        <w:tc>
          <w:tcPr/>
          <w:bookmarkStart w:id="75" w:name="fig-sh_hatch_loss"/>
          <w:p>
            <w:pPr>
              <w:pStyle w:val="Compact"/>
              <w:jc w:val="center"/>
            </w:pPr>
            <w:r>
              <w:drawing>
                <wp:inline>
                  <wp:extent cx="4457700" cy="3241963"/>
                  <wp:effectExtent b="0" l="0" r="0" t="0"/>
                  <wp:docPr descr="" title="" id="73" name="Picture"/>
                  <a:graphic>
                    <a:graphicData uri="http://schemas.openxmlformats.org/drawingml/2006/picture">
                      <pic:pic>
                        <pic:nvPicPr>
                          <pic:cNvPr descr="combined_delta_chinstlhd_files/figure-docx/fig-sh_hatch_loss-1.png" id="74" name="Picture"/>
                          <pic:cNvPicPr>
                            <a:picLocks noChangeArrowheads="1" noChangeAspect="1"/>
                          </pic:cNvPicPr>
                        </pic:nvPicPr>
                        <pic:blipFill>
                          <a:blip r:embed="rId72"/>
                          <a:stretch>
                            <a:fillRect/>
                          </a:stretch>
                        </pic:blipFill>
                        <pic:spPr bwMode="auto">
                          <a:xfrm>
                            <a:off x="0" y="0"/>
                            <a:ext cx="4457700" cy="3241963"/>
                          </a:xfrm>
                          <a:prstGeom prst="rect">
                            <a:avLst/>
                          </a:prstGeom>
                          <a:noFill/>
                          <a:ln w="9525">
                            <a:noFill/>
                            <a:headEnd/>
                            <a:tailEnd/>
                          </a:ln>
                        </pic:spPr>
                      </pic:pic>
                    </a:graphicData>
                  </a:graphic>
                </wp:inline>
              </w:drawing>
            </w:r>
          </w:p>
          <w:p>
            <w:pPr>
              <w:jc w:val="center"/>
            </w:pPr>
            <w:pPr>
              <w:jc w:val="left"/>
              <w:spacing w:before="200"/>
              <w:pStyle w:val="ImageCaption"/>
            </w:pPr>
            <w:r>
              <w:t xml:space="preserve">Figure 8: Cumulative loss of hatchery steelhead for WY 2026.</w:t>
            </w:r>
          </w:p>
          <w:bookmarkEnd w:id="75"/>
        </w:tc>
      </w:tr>
    </w:tbl>
    <w:bookmarkEnd w:id="76"/>
    <w:bookmarkEnd w:id="77"/>
    <w:bookmarkStart w:id="83" w:name="spring-run"/>
    <w:p>
      <w:pPr>
        <w:pStyle w:val="Heading3"/>
      </w:pPr>
      <w:r>
        <w:t xml:space="preserve">2.5 Spring-run</w:t>
      </w:r>
    </w:p>
    <w:bookmarkStart w:id="79" w:name="current-status-2"/>
    <w:p>
      <w:pPr>
        <w:pStyle w:val="Heading4"/>
      </w:pPr>
      <w:r>
        <w:t xml:space="preserve">2.5.1 Current Status</w:t>
      </w:r>
    </w:p>
    <w:p>
      <w:pPr>
        <w:pStyle w:val="FirstParagraph"/>
      </w:pPr>
      <w:r>
        <w:rPr>
          <w:i/>
          <w:iCs/>
        </w:rPr>
        <w:t xml:space="preserve">Delta Entry Timing</w:t>
      </w:r>
      <w:r>
        <w:t xml:space="preserve">- Historically, as of Jan 12, 26% of LAD spring run have entered the delta based on Knights Landing RST catch, 0% have exited the delta based on Chipps Island Trawl Catch, and 0% have been salvaged.</w:t>
      </w:r>
    </w:p>
    <w:tbl>
      <w:tblPr>
        <w:tblStyle w:val="Table"/>
        <w:tblW w:type="pct" w:w="5000"/>
        <w:tblLayout w:type="fixed"/>
        <w:tblLook w:firstRow="0" w:lastRow="0" w:firstColumn="0" w:lastColumn="0" w:noHBand="0" w:noVBand="0" w:val="0000"/>
      </w:tblPr>
      <w:tblGrid>
        <w:gridCol w:w="7920"/>
      </w:tblGrid>
      <w:tr>
        <w:tc>
          <w:tcPr/>
          <w:bookmarkStart w:id="78" w:name="tbl-sr_timing_table"/>
          <w:p>
            <w:pPr>
              <w:jc w:val="center"/>
            </w:pPr>
            <w:pPr>
              <w:jc w:val="left"/>
              <w:spacing w:before="200"/>
              <w:pStyle w:val="ImageCaption"/>
            </w:pPr>
            <w:r>
              <w:t xml:space="preserve">Table 5: Average Percent of annual emigrating population for LAD Spring-run Chinook Salmon captured at the following locations and salvaged at SWP and CVP Delta facilities for the past 10 years.</w:t>
            </w:r>
          </w:p>
          <w:tbl>
            <w:tblPr>
              <w:tblStyle w:val="Table"/>
              <w:tblW w:type="pct" w:w="5000"/>
              <w:tblLayout w:type="fixed"/>
              <w:tblLook w:firstRow="1" w:lastRow="0" w:firstColumn="0" w:lastColumn="0" w:noHBand="0" w:noVBand="0" w:val="0020"/>
            </w:tblPr>
            <w:tblGrid>
              <w:gridCol w:w="1980"/>
              <w:gridCol w:w="1357"/>
              <w:gridCol w:w="678"/>
              <w:gridCol w:w="1131"/>
              <w:gridCol w:w="1188"/>
              <w:gridCol w:w="1131"/>
              <w:gridCol w:w="452"/>
            </w:tblGrid>
            <w:tr>
              <w:trPr>
                <w:tblHeader w:val="on"/>
              </w:trPr>
              <w:tc>
                <w:tcPr/>
                <w:p>
                  <w:pPr>
                    <w:pStyle w:val="Compact"/>
                    <w:jc w:val="left"/>
                    <w:jc w:val="center"/>
                  </w:pPr>
                  <w:r>
                    <w:t xml:space="preserve">Species</w:t>
                  </w:r>
                </w:p>
              </w:tc>
              <w:tc>
                <w:tcPr/>
                <w:p>
                  <w:pPr>
                    <w:pStyle w:val="Compact"/>
                    <w:jc w:val="right"/>
                    <w:jc w:val="center"/>
                  </w:pPr>
                  <w:r>
                    <w:t xml:space="preserve">Red Bluff Diversion Dam</w:t>
                  </w:r>
                </w:p>
              </w:tc>
              <w:tc>
                <w:tcPr/>
                <w:p>
                  <w:pPr>
                    <w:pStyle w:val="Compact"/>
                    <w:jc w:val="right"/>
                    <w:jc w:val="center"/>
                  </w:pPr>
                  <w:r>
                    <w:t xml:space="preserve">Tisdale RST</w:t>
                  </w:r>
                </w:p>
              </w:tc>
              <w:tc>
                <w:tcPr/>
                <w:p>
                  <w:pPr>
                    <w:pStyle w:val="Compact"/>
                    <w:jc w:val="right"/>
                    <w:jc w:val="center"/>
                  </w:pPr>
                  <w:r>
                    <w:t xml:space="preserve">Knights Landing RST</w:t>
                  </w:r>
                </w:p>
              </w:tc>
              <w:tc>
                <w:tcPr/>
                <w:p>
                  <w:pPr>
                    <w:pStyle w:val="Compact"/>
                    <w:jc w:val="right"/>
                    <w:jc w:val="center"/>
                  </w:pPr>
                  <w:r>
                    <w:t xml:space="preserve">Sac Trawl (Sherwood)</w:t>
                  </w:r>
                </w:p>
              </w:tc>
              <w:tc>
                <w:tcPr/>
                <w:p>
                  <w:pPr>
                    <w:pStyle w:val="Compact"/>
                    <w:jc w:val="right"/>
                    <w:jc w:val="center"/>
                  </w:pPr>
                  <w:r>
                    <w:t xml:space="preserve">Chipps Island Trawl</w:t>
                  </w:r>
                </w:p>
              </w:tc>
              <w:tc>
                <w:tcPr/>
                <w:p>
                  <w:pPr>
                    <w:pStyle w:val="Compact"/>
                    <w:jc w:val="right"/>
                    <w:jc w:val="center"/>
                  </w:pPr>
                  <w:r>
                    <w:t xml:space="preserve">Salvage</w:t>
                  </w:r>
                </w:p>
              </w:tc>
            </w:tr>
            <w:tr>
              <w:tc>
                <w:tcPr/>
                <w:p>
                  <w:pPr>
                    <w:pStyle w:val="Compact"/>
                    <w:jc w:val="left"/>
                    <w:jc w:val="center"/>
                  </w:pPr>
                  <w:r>
                    <w:t xml:space="preserve">Chinook, LAD Spring-run, Unclipped</w:t>
                  </w:r>
                </w:p>
              </w:tc>
              <w:tc>
                <w:tcPr/>
                <w:p>
                  <w:pPr>
                    <w:pStyle w:val="Compact"/>
                    <w:jc w:val="right"/>
                    <w:jc w:val="center"/>
                  </w:pPr>
                  <w:r>
                    <w:t xml:space="preserve">12%</w:t>
                  </w:r>
                </w:p>
              </w:tc>
              <w:tc>
                <w:tcPr/>
                <w:p>
                  <w:pPr>
                    <w:pStyle w:val="Compact"/>
                    <w:jc w:val="right"/>
                    <w:jc w:val="center"/>
                  </w:pPr>
                  <w:r>
                    <w:t xml:space="preserve">14%</w:t>
                  </w:r>
                </w:p>
              </w:tc>
              <w:tc>
                <w:tcPr/>
                <w:p>
                  <w:pPr>
                    <w:pStyle w:val="Compact"/>
                    <w:jc w:val="right"/>
                    <w:jc w:val="center"/>
                  </w:pPr>
                  <w:r>
                    <w:t xml:space="preserve">26%</w:t>
                  </w:r>
                </w:p>
              </w:tc>
              <w:tc>
                <w:tcPr/>
                <w:p>
                  <w:pPr>
                    <w:pStyle w:val="Compact"/>
                    <w:jc w:val="right"/>
                    <w:jc w:val="center"/>
                  </w:pPr>
                  <w:r>
                    <w:t xml:space="preserve">2%</w:t>
                  </w:r>
                </w:p>
              </w:tc>
              <w:tc>
                <w:tcPr/>
                <w:p>
                  <w:pPr>
                    <w:pStyle w:val="Compact"/>
                    <w:jc w:val="right"/>
                    <w:jc w:val="center"/>
                  </w:pPr>
                  <w:r>
                    <w:t xml:space="preserve">0%</w:t>
                  </w:r>
                </w:p>
              </w:tc>
              <w:tc>
                <w:tcPr/>
                <w:p>
                  <w:pPr>
                    <w:pStyle w:val="Compact"/>
                    <w:jc w:val="right"/>
                    <w:jc w:val="center"/>
                  </w:pPr>
                  <w:r>
                    <w:t xml:space="preserve">0%</w:t>
                  </w:r>
                </w:p>
              </w:tc>
            </w:tr>
          </w:tbl>
          <w:bookmarkEnd w:id="78"/>
          <w:p/>
        </w:tc>
      </w:tr>
    </w:tbl>
    <w:p>
      <w:pPr>
        <w:pStyle w:val="BodyText"/>
      </w:pPr>
      <w:r>
        <w:rPr>
          <w:i/>
          <w:iCs/>
        </w:rPr>
        <w:t xml:space="preserve">Red Bluff Diversion Dam Passage Estimate</w:t>
      </w:r>
      <w:r>
        <w:t xml:space="preserve"> </w:t>
      </w:r>
      <w:r>
        <w:t xml:space="preserve">- As of Dec 16 estimated passage to date of LAD spring run at Red Bluff Diversion is approximately 0.01 million fish. *</w:t>
      </w:r>
      <w:r>
        <w:t xml:space="preserve"> </w:t>
      </w:r>
      <w:r>
        <w:rPr>
          <w:i/>
          <w:iCs/>
        </w:rPr>
        <w:t xml:space="preserve">Note that outmigration timing overlaps with winter run and fall run outmigration, and true spring run abundance likely differs from these estimates.</w:t>
      </w:r>
    </w:p>
    <w:p>
      <w:pPr>
        <w:pStyle w:val="BodyText"/>
      </w:pPr>
      <w:r>
        <w:rPr>
          <w:i/>
          <w:iCs/>
        </w:rPr>
        <w:t xml:space="preserve">Delta Monitoring</w:t>
      </w:r>
      <w:r>
        <w:t xml:space="preserve">- Total catch of LAD winter run at RSTs at Delta Entry (Tisdale, Knights Landing, Lower Sacramento River) between Dec 30 and Jan 12 is 172 individuals. Total catch at Sacramento Trawl and Beach Seines in the delta between Dec 30 and Jan 12 is 0 individuals. Total catch at Delta Exit at Chipps Island between Dec 30 and Jan 08 is 0 individuals.</w:t>
      </w:r>
    </w:p>
    <w:bookmarkEnd w:id="79"/>
    <w:bookmarkStart w:id="81" w:name="spring-run-surrogate-releases"/>
    <w:p>
      <w:pPr>
        <w:pStyle w:val="Heading4"/>
      </w:pPr>
      <w:r>
        <w:t xml:space="preserve">2.5.2 Spring-run Surrogate Releases</w:t>
      </w:r>
    </w:p>
    <w:p>
      <w:pPr>
        <w:pStyle w:val="FirstParagraph"/>
      </w:pPr>
      <w:r>
        <w:t xml:space="preserve">A total of 805,323 spring-run surrogate fish have been released in Water Year 2026. See details in table below.</w:t>
      </w:r>
    </w:p>
    <w:tbl>
      <w:tblPr>
        <w:tblStyle w:val="Table"/>
        <w:tblW w:type="pct" w:w="5000"/>
        <w:tblLayout w:type="fixed"/>
        <w:tblLook w:firstRow="0" w:lastRow="0" w:firstColumn="0" w:lastColumn="0" w:noHBand="0" w:noVBand="0" w:val="0000"/>
      </w:tblPr>
      <w:tblGrid>
        <w:gridCol w:w="7920"/>
      </w:tblGrid>
      <w:tr>
        <w:tc>
          <w:tcPr/>
          <w:bookmarkStart w:id="80" w:name="tbl-sr_surrogate_table"/>
          <w:p>
            <w:pPr>
              <w:jc w:val="center"/>
            </w:pPr>
            <w:pPr>
              <w:jc w:val="left"/>
              <w:spacing w:before="200"/>
              <w:pStyle w:val="ImageCaption"/>
            </w:pPr>
            <w:r>
              <w:t xml:space="preserve">Table 6: Spring-run Chinook Salmon Surrogate Releases.</w:t>
            </w:r>
          </w:p>
          <w:tbl>
            <w:tblPr>
              <w:tblStyle w:val="Table"/>
              <w:tblW w:type="pct" w:w="5000"/>
              <w:tblLayout w:type="fixed"/>
              <w:tblLook w:firstRow="1" w:lastRow="0" w:firstColumn="0" w:lastColumn="0" w:noHBand="0" w:noVBand="0" w:val="0020"/>
            </w:tblPr>
            <w:tblGrid>
              <w:gridCol w:w="748"/>
              <w:gridCol w:w="810"/>
              <w:gridCol w:w="561"/>
              <w:gridCol w:w="1434"/>
              <w:gridCol w:w="935"/>
              <w:gridCol w:w="3429"/>
            </w:tblGrid>
            <w:tr>
              <w:trPr>
                <w:tblHeader w:val="on"/>
              </w:trPr>
              <w:tc>
                <w:tcPr/>
                <w:p>
                  <w:pPr>
                    <w:pStyle w:val="Compact"/>
                    <w:jc w:val="left"/>
                    <w:jc w:val="center"/>
                  </w:pPr>
                  <w:r>
                    <w:t xml:space="preserve">Hatchery</w:t>
                  </w:r>
                </w:p>
              </w:tc>
              <w:tc>
                <w:tcPr/>
                <w:p>
                  <w:pPr>
                    <w:pStyle w:val="Compact"/>
                    <w:jc w:val="right"/>
                    <w:jc w:val="center"/>
                  </w:pPr>
                  <w:r>
                    <w:t xml:space="preserve">Release Date</w:t>
                  </w:r>
                </w:p>
              </w:tc>
              <w:tc>
                <w:tcPr/>
                <w:p>
                  <w:pPr>
                    <w:pStyle w:val="Compact"/>
                    <w:jc w:val="right"/>
                    <w:jc w:val="center"/>
                  </w:pPr>
                  <w:r>
                    <w:t xml:space="preserve">Type</w:t>
                  </w:r>
                </w:p>
              </w:tc>
              <w:tc>
                <w:tcPr/>
                <w:p>
                  <w:pPr>
                    <w:pStyle w:val="Compact"/>
                    <w:jc w:val="right"/>
                    <w:jc w:val="center"/>
                  </w:pPr>
                  <w:r>
                    <w:t xml:space="preserve"># of CWT Fish Released</w:t>
                  </w:r>
                </w:p>
              </w:tc>
              <w:tc>
                <w:tcPr/>
                <w:p>
                  <w:pPr>
                    <w:pStyle w:val="Compact"/>
                    <w:jc w:val="right"/>
                    <w:jc w:val="center"/>
                  </w:pPr>
                  <w:r>
                    <w:t xml:space="preserve">Confirmed Loss</w:t>
                  </w:r>
                </w:p>
              </w:tc>
              <w:tc>
                <w:tcPr/>
                <w:p>
                  <w:pPr>
                    <w:pStyle w:val="Compact"/>
                    <w:jc w:val="left"/>
                    <w:jc w:val="center"/>
                  </w:pPr>
                  <w:r>
                    <w:t xml:space="preserve">CWT Codes</w:t>
                  </w:r>
                </w:p>
              </w:tc>
            </w:tr>
            <w:tr>
              <w:tc>
                <w:tcPr/>
                <w:p>
                  <w:pPr>
                    <w:pStyle w:val="Compact"/>
                    <w:jc w:val="left"/>
                    <w:jc w:val="center"/>
                  </w:pPr>
                  <w:r>
                    <w:t xml:space="preserve">Coleman NFH</w:t>
                  </w:r>
                </w:p>
              </w:tc>
              <w:tc>
                <w:tcPr/>
                <w:p>
                  <w:pPr>
                    <w:pStyle w:val="Compact"/>
                    <w:jc w:val="right"/>
                    <w:jc w:val="center"/>
                  </w:pPr>
                  <w:r>
                    <w:t xml:space="preserve">2025-11-13</w:t>
                  </w:r>
                </w:p>
              </w:tc>
              <w:tc>
                <w:tcPr/>
                <w:p>
                  <w:pPr>
                    <w:pStyle w:val="Compact"/>
                    <w:jc w:val="right"/>
                    <w:jc w:val="center"/>
                  </w:pPr>
                  <w:r>
                    <w:t xml:space="preserve">Yearling</w:t>
                  </w:r>
                </w:p>
              </w:tc>
              <w:tc>
                <w:tcPr/>
                <w:p>
                  <w:pPr>
                    <w:pStyle w:val="Compact"/>
                    <w:jc w:val="right"/>
                    <w:jc w:val="center"/>
                  </w:pPr>
                  <w:r>
                    <w:t xml:space="preserve">143346</w:t>
                  </w:r>
                </w:p>
              </w:tc>
              <w:tc>
                <w:tcPr/>
                <w:p>
                  <w:pPr>
                    <w:pStyle w:val="Compact"/>
                    <w:jc w:val="right"/>
                    <w:jc w:val="center"/>
                  </w:pPr>
                  <w:r>
                    <w:t xml:space="preserve">8.7</w:t>
                  </w:r>
                </w:p>
              </w:tc>
              <w:tc>
                <w:tcPr/>
                <w:p>
                  <w:pPr>
                    <w:pStyle w:val="Compact"/>
                    <w:jc w:val="left"/>
                    <w:jc w:val="center"/>
                  </w:pPr>
                  <w:r>
                    <w:t xml:space="preserve">056808, 056809</w:t>
                  </w:r>
                </w:p>
              </w:tc>
            </w:tr>
            <w:tr>
              <w:tc>
                <w:tcPr/>
                <w:p>
                  <w:pPr>
                    <w:pStyle w:val="Compact"/>
                    <w:jc w:val="left"/>
                    <w:jc w:val="center"/>
                  </w:pPr>
                  <w:r>
                    <w:t xml:space="preserve">Coleman NFH</w:t>
                  </w:r>
                </w:p>
              </w:tc>
              <w:tc>
                <w:tcPr/>
                <w:p>
                  <w:pPr>
                    <w:pStyle w:val="Compact"/>
                    <w:jc w:val="right"/>
                    <w:jc w:val="center"/>
                  </w:pPr>
                  <w:r>
                    <w:t xml:space="preserve">2025-11-17</w:t>
                  </w:r>
                </w:p>
              </w:tc>
              <w:tc>
                <w:tcPr/>
                <w:p>
                  <w:pPr>
                    <w:pStyle w:val="Compact"/>
                    <w:jc w:val="right"/>
                    <w:jc w:val="center"/>
                  </w:pPr>
                  <w:r>
                    <w:t xml:space="preserve">Yearling</w:t>
                  </w:r>
                </w:p>
              </w:tc>
              <w:tc>
                <w:tcPr/>
                <w:p>
                  <w:pPr>
                    <w:pStyle w:val="Compact"/>
                    <w:jc w:val="right"/>
                    <w:jc w:val="center"/>
                  </w:pPr>
                  <w:r>
                    <w:t xml:space="preserve">75119</w:t>
                  </w:r>
                </w:p>
              </w:tc>
              <w:tc>
                <w:tcPr/>
                <w:p>
                  <w:pPr>
                    <w:pStyle w:val="Compact"/>
                    <w:jc w:val="right"/>
                    <w:jc w:val="center"/>
                  </w:pPr>
                  <w:r>
                    <w:t xml:space="preserve">0.0</w:t>
                  </w:r>
                </w:p>
              </w:tc>
              <w:tc>
                <w:tcPr/>
                <w:p>
                  <w:pPr>
                    <w:pStyle w:val="Compact"/>
                    <w:jc w:val="left"/>
                    <w:jc w:val="center"/>
                  </w:pPr>
                  <w:r>
                    <w:t xml:space="preserve">056810</w:t>
                  </w:r>
                </w:p>
              </w:tc>
            </w:tr>
            <w:tr>
              <w:tc>
                <w:tcPr/>
                <w:p>
                  <w:pPr>
                    <w:pStyle w:val="Compact"/>
                    <w:jc w:val="left"/>
                    <w:jc w:val="center"/>
                  </w:pPr>
                  <w:r>
                    <w:t xml:space="preserve">Coleman NFH</w:t>
                  </w:r>
                </w:p>
              </w:tc>
              <w:tc>
                <w:tcPr/>
                <w:p>
                  <w:pPr>
                    <w:pStyle w:val="Compact"/>
                    <w:jc w:val="right"/>
                    <w:jc w:val="center"/>
                  </w:pPr>
                  <w:r>
                    <w:t xml:space="preserve">2025-12-17</w:t>
                  </w:r>
                </w:p>
              </w:tc>
              <w:tc>
                <w:tcPr/>
                <w:p>
                  <w:pPr>
                    <w:pStyle w:val="Compact"/>
                    <w:jc w:val="right"/>
                    <w:jc w:val="center"/>
                  </w:pPr>
                  <w:r>
                    <w:t xml:space="preserve">Yearling</w:t>
                  </w:r>
                </w:p>
              </w:tc>
              <w:tc>
                <w:tcPr/>
                <w:p>
                  <w:pPr>
                    <w:pStyle w:val="Compact"/>
                    <w:jc w:val="right"/>
                    <w:jc w:val="center"/>
                  </w:pPr>
                  <w:r>
                    <w:t xml:space="preserve">468876</w:t>
                  </w:r>
                </w:p>
              </w:tc>
              <w:tc>
                <w:tcPr/>
                <w:p>
                  <w:pPr>
                    <w:pStyle w:val="Compact"/>
                    <w:jc w:val="right"/>
                    <w:jc w:val="center"/>
                  </w:pPr>
                  <w:r>
                    <w:t xml:space="preserve">639.9</w:t>
                  </w:r>
                </w:p>
              </w:tc>
              <w:tc>
                <w:tcPr/>
                <w:p>
                  <w:pPr>
                    <w:pStyle w:val="Compact"/>
                    <w:jc w:val="left"/>
                    <w:jc w:val="center"/>
                  </w:pPr>
                  <w:r>
                    <w:t xml:space="preserve">053700, 056806, 056811, 056812, 056814, 056815, 056817</w:t>
                  </w:r>
                </w:p>
              </w:tc>
            </w:tr>
            <w:tr>
              <w:tc>
                <w:tcPr/>
                <w:p>
                  <w:pPr>
                    <w:pStyle w:val="Compact"/>
                    <w:jc w:val="left"/>
                    <w:jc w:val="center"/>
                  </w:pPr>
                  <w:r>
                    <w:t xml:space="preserve">Coleman NFH</w:t>
                  </w:r>
                </w:p>
              </w:tc>
              <w:tc>
                <w:tcPr/>
                <w:p>
                  <w:pPr>
                    <w:pStyle w:val="Compact"/>
                    <w:jc w:val="right"/>
                    <w:jc w:val="center"/>
                  </w:pPr>
                  <w:r>
                    <w:t xml:space="preserve">2025-12-22</w:t>
                  </w:r>
                </w:p>
              </w:tc>
              <w:tc>
                <w:tcPr/>
                <w:p>
                  <w:pPr>
                    <w:pStyle w:val="Compact"/>
                    <w:jc w:val="right"/>
                    <w:jc w:val="center"/>
                  </w:pPr>
                  <w:r>
                    <w:t xml:space="preserve">Yearling</w:t>
                  </w:r>
                </w:p>
              </w:tc>
              <w:tc>
                <w:tcPr/>
                <w:p>
                  <w:pPr>
                    <w:pStyle w:val="Compact"/>
                    <w:jc w:val="right"/>
                    <w:jc w:val="center"/>
                  </w:pPr>
                  <w:r>
                    <w:t xml:space="preserve">60873</w:t>
                  </w:r>
                </w:p>
              </w:tc>
              <w:tc>
                <w:tcPr/>
                <w:p>
                  <w:pPr>
                    <w:pStyle w:val="Compact"/>
                    <w:jc w:val="right"/>
                    <w:jc w:val="center"/>
                  </w:pPr>
                  <w:r>
                    <w:t xml:space="preserve">224.1</w:t>
                  </w:r>
                </w:p>
              </w:tc>
              <w:tc>
                <w:tcPr/>
                <w:p>
                  <w:pPr>
                    <w:pStyle w:val="Compact"/>
                    <w:jc w:val="left"/>
                    <w:jc w:val="center"/>
                  </w:pPr>
                  <w:r>
                    <w:t xml:space="preserve">056813</w:t>
                  </w:r>
                </w:p>
              </w:tc>
            </w:tr>
            <w:tr>
              <w:tc>
                <w:tcPr/>
                <w:p>
                  <w:pPr>
                    <w:pStyle w:val="Compact"/>
                    <w:jc w:val="left"/>
                    <w:jc w:val="center"/>
                  </w:pPr>
                  <w:r>
                    <w:t xml:space="preserve">Coleman NFH</w:t>
                  </w:r>
                </w:p>
              </w:tc>
              <w:tc>
                <w:tcPr/>
                <w:p>
                  <w:pPr>
                    <w:pStyle w:val="Compact"/>
                    <w:jc w:val="right"/>
                    <w:jc w:val="center"/>
                  </w:pPr>
                  <w:r>
                    <w:t xml:space="preserve">2026-01-08</w:t>
                  </w:r>
                </w:p>
              </w:tc>
              <w:tc>
                <w:tcPr/>
                <w:p>
                  <w:pPr>
                    <w:pStyle w:val="Compact"/>
                    <w:jc w:val="right"/>
                    <w:jc w:val="center"/>
                  </w:pPr>
                  <w:r>
                    <w:t xml:space="preserve">Yearling</w:t>
                  </w:r>
                </w:p>
              </w:tc>
              <w:tc>
                <w:tcPr/>
                <w:p>
                  <w:pPr>
                    <w:pStyle w:val="Compact"/>
                    <w:jc w:val="right"/>
                    <w:jc w:val="center"/>
                  </w:pPr>
                  <w:r>
                    <w:t xml:space="preserve">57109</w:t>
                  </w:r>
                </w:p>
              </w:tc>
              <w:tc>
                <w:tcPr/>
                <w:p>
                  <w:pPr>
                    <w:pStyle w:val="Compact"/>
                    <w:jc w:val="right"/>
                    <w:jc w:val="center"/>
                  </w:pPr>
                  <w:r>
                    <w:t xml:space="preserve">0.0</w:t>
                  </w:r>
                </w:p>
              </w:tc>
              <w:tc>
                <w:tcPr/>
                <w:p>
                  <w:pPr>
                    <w:pStyle w:val="Compact"/>
                    <w:jc w:val="left"/>
                    <w:jc w:val="center"/>
                  </w:pPr>
                  <w:r>
                    <w:t xml:space="preserve">056816</w:t>
                  </w:r>
                </w:p>
              </w:tc>
            </w:tr>
          </w:tbl>
          <w:bookmarkEnd w:id="80"/>
          <w:p/>
        </w:tc>
      </w:tr>
    </w:tbl>
    <w:bookmarkEnd w:id="81"/>
    <w:bookmarkStart w:id="82" w:name="annual-loss-3"/>
    <w:p>
      <w:pPr>
        <w:pStyle w:val="Heading4"/>
      </w:pPr>
      <w:r>
        <w:t xml:space="preserve">2.5.3 Annual Loss</w:t>
      </w:r>
    </w:p>
    <w:p>
      <w:pPr>
        <w:pStyle w:val="FirstParagraph"/>
      </w:pPr>
      <w:r>
        <w:t xml:space="preserve">The annual loss threshold is 1% of the total releases, which equals 8,053 fish. As of January 12, cumulative loss is 872.69 fish or 10.84% of the annual loss threshold.</w:t>
      </w:r>
    </w:p>
    <w:bookmarkEnd w:id="82"/>
    <w:bookmarkEnd w:id="83"/>
    <w:bookmarkStart w:id="100" w:name="loss-prediction-and-trajectories"/>
    <w:p>
      <w:pPr>
        <w:pStyle w:val="Heading3"/>
      </w:pPr>
      <w:r>
        <w:t xml:space="preserve">2.6 Loss Prediction and Trajectories</w:t>
      </w:r>
    </w:p>
    <w:p>
      <w:pPr>
        <w:pStyle w:val="FirstParagraph"/>
      </w:pPr>
      <w:r>
        <w:t xml:space="preserve">The following figures display the cumulative loss trajectories relative to historical years (</w:t>
      </w:r>
      <w:r>
        <w:t xml:space="preserve">“Spaghetti Plots”</w:t>
      </w:r>
      <w:r>
        <w:t xml:space="preserve">) and the current loss predictor model outputs for Winter-run Chinook Salmon and Steelhead.</w:t>
      </w:r>
    </w:p>
    <w:tbl>
      <w:tblPr>
        <w:tblStyle w:val="Table"/>
        <w:tblW w:type="pct" w:w="5000"/>
        <w:tblLayout w:type="fixed"/>
        <w:tblLook w:firstRow="0" w:lastRow="0" w:firstColumn="0" w:lastColumn="0" w:noHBand="0" w:noVBand="0" w:val="0000"/>
      </w:tblPr>
      <w:tblGrid>
        <w:gridCol w:w="7920"/>
      </w:tblGrid>
      <w:tr>
        <w:tc>
          <w:tcPr/>
          <w:tbl>
            <w:tblPr>
              <w:tblStyle w:val="Table"/>
              <w:tblW w:type="pct" w:w="5000"/>
              <w:tblLayout w:type="fixed"/>
              <w:tblLook w:firstRow="0" w:lastRow="0" w:firstColumn="0" w:lastColumn="0" w:noHBand="0" w:noVBand="0" w:val="0000"/>
            </w:tblPr>
            <w:tblGrid>
              <w:gridCol w:w="7920"/>
            </w:tblGrid>
            <w:tr>
              <w:tc>
                <w:tcPr/>
                <w:bookmarkStart w:id="87" w:name="fig-loss-eval-1"/>
                <w:p>
                  <w:pPr>
                    <w:pStyle w:val="Compact"/>
                    <w:jc w:val="center"/>
                    <w:jc w:val="left"/>
                  </w:pPr>
                  <w:r>
                    <w:drawing>
                      <wp:inline>
                        <wp:extent cx="5943600" cy="4322618"/>
                        <wp:effectExtent b="0" l="0" r="0" t="0"/>
                        <wp:docPr descr="" title="" id="85" name="Picture"/>
                        <a:graphic>
                          <a:graphicData uri="http://schemas.openxmlformats.org/drawingml/2006/picture">
                            <pic:pic>
                              <pic:nvPicPr>
                                <pic:cNvPr descr="combined_delta_chinstlhd_files/figure-docx/fig-loss-eval-1.png" id="86" name="Picture"/>
                                <pic:cNvPicPr>
                                  <a:picLocks noChangeArrowheads="1" noChangeAspect="1"/>
                                </pic:cNvPicPr>
                              </pic:nvPicPr>
                              <pic:blipFill>
                                <a:blip r:embed="rId84"/>
                                <a:stretch>
                                  <a:fillRect/>
                                </a:stretch>
                              </pic:blipFill>
                              <pic:spPr bwMode="auto">
                                <a:xfrm>
                                  <a:off x="0" y="0"/>
                                  <a:ext cx="5943600" cy="4322618"/>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Figure 9: Natural LAD Winter-Run Chinook Salmon Loss Cumulative to Date with historical years and Single Year Loss Thresholds.</w:t>
                  </w:r>
                </w:p>
                <w:bookmarkEnd w:id="87"/>
              </w:tc>
            </w:tr>
          </w:tbl>
          <w:p/>
        </w:tc>
      </w:tr>
    </w:tbl>
    <w:p>
      <w:pPr>
        <w:framePr w:w="0" w:h="0" w:vAnchor="margin" w:hAnchor="margin" w:xAlign="right" w:yAlign="top"/>
      </w:pPr>
    </w:p>
    <w:tbl>
      <w:tblPr>
        <w:tblStyle w:val="Table"/>
        <w:tblW w:type="pct" w:w="5000"/>
        <w:tblLayout w:type="fixed"/>
        <w:tblLook w:firstRow="0" w:lastRow="0" w:firstColumn="0" w:lastColumn="0" w:noHBand="0" w:noVBand="0" w:val="0000"/>
      </w:tblPr>
      <w:tblGrid>
        <w:gridCol w:w="7920"/>
      </w:tblGrid>
      <w:tr>
        <w:tc>
          <w:tcPr/>
          <w:tbl>
            <w:tblPr>
              <w:tblStyle w:val="Table"/>
              <w:tblW w:type="pct" w:w="5000"/>
              <w:tblLayout w:type="fixed"/>
              <w:tblLook w:firstRow="0" w:lastRow="0" w:firstColumn="0" w:lastColumn="0" w:noHBand="0" w:noVBand="0" w:val="0000"/>
            </w:tblPr>
            <w:tblGrid>
              <w:gridCol w:w="7920"/>
            </w:tblGrid>
            <w:tr>
              <w:tc>
                <w:tcPr/>
                <w:bookmarkStart w:id="91" w:name="fig-loss-eval-2"/>
                <w:p>
                  <w:pPr>
                    <w:pStyle w:val="Compact"/>
                    <w:jc w:val="center"/>
                    <w:jc w:val="left"/>
                  </w:pPr>
                  <w:r>
                    <w:drawing>
                      <wp:inline>
                        <wp:extent cx="5943600" cy="4322618"/>
                        <wp:effectExtent b="0" l="0" r="0" t="0"/>
                        <wp:docPr descr="" title="" id="89" name="Picture"/>
                        <a:graphic>
                          <a:graphicData uri="http://schemas.openxmlformats.org/drawingml/2006/picture">
                            <pic:pic>
                              <pic:nvPicPr>
                                <pic:cNvPr descr="combined_delta_chinstlhd_files/figure-docx/fig-loss-eval-2.png" id="90" name="Picture"/>
                                <pic:cNvPicPr>
                                  <a:picLocks noChangeArrowheads="1" noChangeAspect="1"/>
                                </pic:cNvPicPr>
                              </pic:nvPicPr>
                              <pic:blipFill>
                                <a:blip r:embed="rId88"/>
                                <a:stretch>
                                  <a:fillRect/>
                                </a:stretch>
                              </pic:blipFill>
                              <pic:spPr bwMode="auto">
                                <a:xfrm>
                                  <a:off x="0" y="0"/>
                                  <a:ext cx="5943600" cy="4322618"/>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Figure 10: Natural Central Valley Steelhead Loss Cumulative to Date with historical years and Single Year Loss Thresholds.</w:t>
                  </w:r>
                </w:p>
                <w:bookmarkEnd w:id="91"/>
              </w:tc>
            </w:tr>
          </w:tbl>
          <w:p/>
        </w:tc>
      </w:tr>
    </w:tbl>
    <w:p>
      <w:pPr>
        <w:framePr w:w="0" w:h="0" w:vAnchor="margin" w:hAnchor="margin" w:xAlign="right" w:yAlign="top"/>
      </w:pPr>
    </w:p>
    <w:tbl>
      <w:tblPr>
        <w:tblStyle w:val="Table"/>
        <w:tblW w:type="pct" w:w="5000"/>
        <w:tblLayout w:type="fixed"/>
        <w:tblLook w:firstRow="0" w:lastRow="0" w:firstColumn="0" w:lastColumn="0" w:noHBand="0" w:noVBand="0" w:val="0000"/>
      </w:tblPr>
      <w:tblGrid>
        <w:gridCol w:w="7920"/>
      </w:tblGrid>
      <w:tr>
        <w:tc>
          <w:tcPr/>
          <w:tbl>
            <w:tblPr>
              <w:tblStyle w:val="Table"/>
              <w:tblW w:type="pct" w:w="5000"/>
              <w:tblLayout w:type="fixed"/>
              <w:tblLook w:firstRow="0" w:lastRow="0" w:firstColumn="0" w:lastColumn="0" w:noHBand="0" w:noVBand="0" w:val="0000"/>
            </w:tblPr>
            <w:tblGrid>
              <w:gridCol w:w="7920"/>
            </w:tblGrid>
            <w:tr>
              <w:tc>
                <w:tcPr/>
                <w:bookmarkStart w:id="95" w:name="fig-loss-eval-3"/>
                <w:p>
                  <w:pPr>
                    <w:pStyle w:val="Compact"/>
                    <w:jc w:val="center"/>
                    <w:jc w:val="left"/>
                  </w:pPr>
                  <w:r>
                    <w:drawing>
                      <wp:inline>
                        <wp:extent cx="5943600" cy="3961409"/>
                        <wp:effectExtent b="0" l="0" r="0" t="0"/>
                        <wp:docPr descr="" title="" id="93" name="Picture"/>
                        <a:graphic>
                          <a:graphicData uri="http://schemas.openxmlformats.org/drawingml/2006/picture">
                            <pic:pic>
                              <pic:nvPicPr>
                                <pic:cNvPr descr="combined_delta_chinstlhd_files/figure-docx/fig-loss-eval-3.png" id="94" name="Picture"/>
                                <pic:cNvPicPr>
                                  <a:picLocks noChangeArrowheads="1" noChangeAspect="1"/>
                                </pic:cNvPicPr>
                              </pic:nvPicPr>
                              <pic:blipFill>
                                <a:blip r:embed="rId92"/>
                                <a:stretch>
                                  <a:fillRect/>
                                </a:stretch>
                              </pic:blipFill>
                              <pic:spPr bwMode="auto">
                                <a:xfrm>
                                  <a:off x="0" y="0"/>
                                  <a:ext cx="5943600" cy="3961409"/>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Figure 11: Estimates of Winter-run Chinook Loss generated by Loss and Salvage Predictor tool.</w:t>
                  </w:r>
                </w:p>
                <w:bookmarkEnd w:id="95"/>
              </w:tc>
            </w:tr>
          </w:tbl>
          <w:p/>
        </w:tc>
      </w:tr>
    </w:tbl>
    <w:p>
      <w:pPr>
        <w:framePr w:w="0" w:h="0" w:vAnchor="margin" w:hAnchor="margin" w:xAlign="right" w:yAlign="top"/>
      </w:pPr>
    </w:p>
    <w:tbl>
      <w:tblPr>
        <w:tblStyle w:val="Table"/>
        <w:tblW w:type="pct" w:w="5000"/>
        <w:tblLayout w:type="fixed"/>
        <w:tblLook w:firstRow="0" w:lastRow="0" w:firstColumn="0" w:lastColumn="0" w:noHBand="0" w:noVBand="0" w:val="0000"/>
      </w:tblPr>
      <w:tblGrid>
        <w:gridCol w:w="7920"/>
      </w:tblGrid>
      <w:tr>
        <w:tc>
          <w:tcPr/>
          <w:tbl>
            <w:tblPr>
              <w:tblStyle w:val="Table"/>
              <w:tblW w:type="pct" w:w="5000"/>
              <w:tblLayout w:type="fixed"/>
              <w:tblLook w:firstRow="0" w:lastRow="0" w:firstColumn="0" w:lastColumn="0" w:noHBand="0" w:noVBand="0" w:val="0000"/>
            </w:tblPr>
            <w:tblGrid>
              <w:gridCol w:w="7920"/>
            </w:tblGrid>
            <w:tr>
              <w:tc>
                <w:tcPr/>
                <w:bookmarkStart w:id="99" w:name="fig-loss-eval-4"/>
                <w:p>
                  <w:pPr>
                    <w:pStyle w:val="Compact"/>
                    <w:jc w:val="center"/>
                    <w:jc w:val="left"/>
                  </w:pPr>
                  <w:r>
                    <w:drawing>
                      <wp:inline>
                        <wp:extent cx="5943600" cy="3961409"/>
                        <wp:effectExtent b="0" l="0" r="0" t="0"/>
                        <wp:docPr descr="" title="" id="97" name="Picture"/>
                        <a:graphic>
                          <a:graphicData uri="http://schemas.openxmlformats.org/drawingml/2006/picture">
                            <pic:pic>
                              <pic:nvPicPr>
                                <pic:cNvPr descr="combined_delta_chinstlhd_files/figure-docx/fig-loss-eval-4.png" id="98" name="Picture"/>
                                <pic:cNvPicPr>
                                  <a:picLocks noChangeArrowheads="1" noChangeAspect="1"/>
                                </pic:cNvPicPr>
                              </pic:nvPicPr>
                              <pic:blipFill>
                                <a:blip r:embed="rId96"/>
                                <a:stretch>
                                  <a:fillRect/>
                                </a:stretch>
                              </pic:blipFill>
                              <pic:spPr bwMode="auto">
                                <a:xfrm>
                                  <a:off x="0" y="0"/>
                                  <a:ext cx="5943600" cy="3961409"/>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Figure 12: Estimates of Steelhead Loss generated by Loss and Salvage Predictor tool.</w:t>
                  </w:r>
                </w:p>
                <w:bookmarkEnd w:id="99"/>
              </w:tc>
            </w:tr>
          </w:tbl>
          <w:p/>
        </w:tc>
      </w:tr>
    </w:tbl>
    <w:bookmarkEnd w:id="100"/>
    <w:bookmarkStart w:id="101" w:name="evaluation"/>
    <w:p>
      <w:pPr>
        <w:pStyle w:val="Heading3"/>
      </w:pPr>
      <w:r>
        <w:t xml:space="preserve">2.7 Evaluation</w:t>
      </w:r>
    </w:p>
    <w:p>
      <w:pPr>
        <w:numPr>
          <w:ilvl w:val="0"/>
          <w:numId w:val="1002"/>
        </w:numPr>
      </w:pPr>
      <w:r>
        <w:rPr>
          <w:b/>
          <w:bCs/>
        </w:rPr>
        <w:t xml:space="preserve">What is the probability of exceeding natural or hatchery winter-run Chinook Salmon loss thresholds in the upcoming week?</w:t>
      </w:r>
    </w:p>
    <w:p>
      <w:pPr>
        <w:numPr>
          <w:ilvl w:val="0"/>
          <w:numId w:val="1000"/>
        </w:numPr>
      </w:pPr>
      <w:r>
        <w:rPr>
          <w:b/>
          <w:bCs/>
        </w:rPr>
        <w:t xml:space="preserve">LOW RISK:</w:t>
      </w:r>
      <w:r>
        <w:t xml:space="preserve"> </w:t>
      </w:r>
      <w:r>
        <w:t xml:space="preserve">Cumulative loss is currently 0% of the threshold. Current trajectory suggests the threshold is unlikely to be exceeded in the upcoming week.</w:t>
      </w:r>
    </w:p>
    <w:p>
      <w:pPr>
        <w:numPr>
          <w:ilvl w:val="0"/>
          <w:numId w:val="1002"/>
        </w:numPr>
      </w:pPr>
      <w:r>
        <w:rPr>
          <w:b/>
          <w:bCs/>
        </w:rPr>
        <w:t xml:space="preserve">What is the probability of spring-run hatchery Chinook Salmon loss thresholds in the upcoming week?</w:t>
      </w:r>
    </w:p>
    <w:p>
      <w:pPr>
        <w:numPr>
          <w:ilvl w:val="0"/>
          <w:numId w:val="1000"/>
        </w:numPr>
      </w:pPr>
      <w:r>
        <w:rPr>
          <w:b/>
          <w:bCs/>
        </w:rPr>
        <w:t xml:space="preserve">LOW RISK:</w:t>
      </w:r>
      <w:r>
        <w:t xml:space="preserve"> </w:t>
      </w:r>
      <w:r>
        <w:t xml:space="preserve">Cumulative loss is currently 10.8% of the threshold. Current trajectory suggests the threshold is unlikely to be exceeded in the upcoming week.</w:t>
      </w:r>
    </w:p>
    <w:p>
      <w:pPr>
        <w:numPr>
          <w:ilvl w:val="0"/>
          <w:numId w:val="1002"/>
        </w:numPr>
      </w:pPr>
      <w:r>
        <w:rPr>
          <w:b/>
          <w:bCs/>
        </w:rPr>
        <w:t xml:space="preserve">What is the probability of hatchery Steelhead loss thresholds in the upcoming week?</w:t>
      </w:r>
    </w:p>
    <w:p>
      <w:pPr>
        <w:numPr>
          <w:ilvl w:val="0"/>
          <w:numId w:val="1000"/>
        </w:numPr>
      </w:pPr>
      <w:r>
        <w:rPr>
          <w:b/>
          <w:bCs/>
        </w:rPr>
        <w:t xml:space="preserve">LOW RISK:</w:t>
      </w:r>
      <w:r>
        <w:t xml:space="preserve"> </w:t>
      </w:r>
      <w:r>
        <w:t xml:space="preserve">Cumulative loss is currently 3.4% of the threshold. Current trajectory suggests the threshold is unlikely to be exceeded in the upcoming week.</w:t>
      </w:r>
    </w:p>
    <w:bookmarkEnd w:id="101"/>
    <w:bookmarkEnd w:id="102"/>
    <w:sectPr w:rsidR="00AC7395">
      <w:headerReference r:id="rId9" w:type="even"/>
      <w:headerReference r:id="rId11" w:type="default"/>
      <w:footerReference r:id="rId14" w:type="even"/>
      <w:footerReference r:id="rId13" w:type="default"/>
      <w:headerReference r:id="rId10" w:type="first"/>
      <w:footerReference r:id="rId12" w:type="first"/>
      <w:footnotePr>
        <w:numRestart w:val="eachSect"/>
      </w:footnotePr>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7F76D" w14:textId="77777777" w:rsidR="00497B28" w:rsidRDefault="00497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4071887"/>
      <w:docPartObj>
        <w:docPartGallery w:val="Page Numbers (Bottom of Page)"/>
        <w:docPartUnique/>
      </w:docPartObj>
    </w:sdtPr>
    <w:sdtEndPr>
      <w:rPr>
        <w:noProof/>
      </w:rPr>
    </w:sdtEndPr>
    <w:sdtContent>
      <w:p w14:paraId="2D32306A" w14:textId="7B292407" w:rsidR="00497B28" w:rsidRDefault="00497B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01F785" w14:textId="77777777" w:rsidR="00497B28" w:rsidRDefault="00497B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11C14" w14:textId="77777777" w:rsidR="00497B28" w:rsidRDefault="00497B28">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77C24" w14:textId="77777777" w:rsidR="00497B28" w:rsidRDefault="00497B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5F43F" w14:textId="77777777" w:rsidR="00497B28" w:rsidRDefault="00497B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68535" w14:textId="77777777" w:rsidR="00497B28" w:rsidRDefault="00497B28">
    <w:pPr>
      <w:pStyle w:val="Heade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170CD2DE"/>
    <w:multiLevelType w:val="multilevel"/>
    <w:tmpl w:val="FB72EDBA"/>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16cid:durableId="125778032" w:numId="1">
    <w:abstractNumId w:val="0"/>
  </w: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C7395"/>
    <w:rsid w:val="001C2334"/>
    <w:rsid w:val="00497B28"/>
    <w:rsid w:val="00AC7395"/>
    <w:rsid w:val="00E40A47"/>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foo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qFormat/>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style>
  <w:style w:customStyle="1" w:styleId="FootnoteBlockText" w:type="paragraph">
    <w:name w:val="Footnote Block Text"/>
    <w:basedOn w:val="FootnoteText"/>
    <w:next w:val="FootnoteText"/>
    <w:uiPriority w:val="9"/>
    <w:unhideWhenUsed/>
    <w:qFormat/>
    <w:pPr>
      <w:spacing w:after="100" w:before="100"/>
      <w:ind w:left="480" w:right="480"/>
    </w:p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rPr>
      <w:rFonts w:ascii="Consolas" w:hAnsi="Consolas"/>
      <w:sz w:val="22"/>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rPr>
      <w:color w:themeColor="accent1" w:val="156082"/>
    </w:rPr>
  </w:style>
  <w:style w:styleId="TOCHeading" w:type="paragraph">
    <w:name w:val="TOC Heading"/>
    <w:basedOn w:val="Heading1"/>
    <w:next w:val="BodyText"/>
    <w:uiPriority w:val="39"/>
    <w:unhideWhenUsed/>
    <w:qFormat/>
    <w:pPr>
      <w:spacing w:before="240" w:line="259" w:lineRule="auto"/>
      <w:outlineLvl w:val="9"/>
    </w:pPr>
  </w:style>
  <w:style w:styleId="Header" w:type="paragraph">
    <w:name w:val="header"/>
    <w:basedOn w:val="Normal"/>
    <w:link w:val="HeaderChar"/>
    <w:rsid w:val="00497B28"/>
    <w:pPr>
      <w:tabs>
        <w:tab w:pos="4680" w:val="center"/>
        <w:tab w:pos="9360" w:val="right"/>
      </w:tabs>
      <w:spacing w:after="0"/>
    </w:pPr>
  </w:style>
  <w:style w:customStyle="1" w:styleId="HeaderChar" w:type="character">
    <w:name w:val="Header Char"/>
    <w:basedOn w:val="DefaultParagraphFont"/>
    <w:link w:val="Header"/>
    <w:rsid w:val="00497B28"/>
  </w:style>
  <w:style w:styleId="Footer" w:type="paragraph">
    <w:name w:val="footer"/>
    <w:basedOn w:val="Normal"/>
    <w:link w:val="FooterChar"/>
    <w:uiPriority w:val="99"/>
    <w:rsid w:val="00497B28"/>
    <w:pPr>
      <w:tabs>
        <w:tab w:pos="4680" w:val="center"/>
        <w:tab w:pos="9360" w:val="right"/>
      </w:tabs>
      <w:spacing w:after="0"/>
    </w:pPr>
  </w:style>
  <w:style w:customStyle="1" w:styleId="FooterChar" w:type="character">
    <w:name w:val="Footer Char"/>
    <w:basedOn w:val="DefaultParagraphFont"/>
    <w:link w:val="Footer"/>
    <w:uiPriority w:val="99"/>
    <w:rsid w:val="00497B28"/>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header3.xml" Type="http://schemas.openxmlformats.org/officeDocument/2006/relationships/header" /><Relationship Id="rId11" Target="header2.xml" Type="http://schemas.openxmlformats.org/officeDocument/2006/relationships/header" /><Relationship Id="rId12" Target="footer3.xml" Type="http://schemas.openxmlformats.org/officeDocument/2006/relationships/footer" /><Relationship Id="rId13" Target="footer2.xml" Type="http://schemas.openxmlformats.org/officeDocument/2006/relationships/footer" /><Relationship Id="rId14" Target="footer1.xml" Type="http://schemas.openxmlformats.org/officeDocument/2006/relationships/footer" /><Relationship Type="http://schemas.openxmlformats.org/officeDocument/2006/relationships/image" Id="rId84" Target="media/rId84.png" /><Relationship Type="http://schemas.openxmlformats.org/officeDocument/2006/relationships/image" Id="rId88" Target="media/rId88.png" /><Relationship Type="http://schemas.openxmlformats.org/officeDocument/2006/relationships/image" Id="rId92" Target="media/rId92.png" /><Relationship Type="http://schemas.openxmlformats.org/officeDocument/2006/relationships/image" Id="rId96" Target="media/rId96.png" /><Relationship Type="http://schemas.openxmlformats.org/officeDocument/2006/relationships/image" Id="rId72" Target="media/rId72.png" /><Relationship Type="http://schemas.openxmlformats.org/officeDocument/2006/relationships/image" Id="rId65" Target="media/rId65.png" /><Relationship Type="http://schemas.openxmlformats.org/officeDocument/2006/relationships/image" Id="rId53" Target="media/rId53.png" /><Relationship Type="http://schemas.openxmlformats.org/officeDocument/2006/relationships/image" Id="rId49" Target="media/rId49.png" /><Relationship Type="http://schemas.openxmlformats.org/officeDocument/2006/relationships/image" Id="rId45" Target="media/rId45.png" /><Relationship Type="http://schemas.openxmlformats.org/officeDocument/2006/relationships/image" Id="rId22" Target="media/rId22.png" /><Relationship Type="http://schemas.openxmlformats.org/officeDocument/2006/relationships/image" Id="rId40" Target="media/rId40.png" /><Relationship Type="http://schemas.openxmlformats.org/officeDocument/2006/relationships/image" Id="rId30" Target="media/rId30.png" /><Relationship Type="http://schemas.openxmlformats.org/officeDocument/2006/relationships/hyperlink" Id="rId28" Target="https://www.cbr.washington.edu/sacramento/data/query_river_table.html" TargetMode="External" /><Relationship Type="http://schemas.openxmlformats.org/officeDocument/2006/relationships/hyperlink" Id="rId36" Target="https://www.cbr.washington.edu/sacramento/workgroups/salmon_monitoring.html" TargetMode="External" /><Relationship Type="http://schemas.openxmlformats.org/officeDocument/2006/relationships/hyperlink" Id="rId29" Target="https://www.cnrfc.noaa.gov/deterministicHourlyProductCSV.php" TargetMode="External" /></Relationships>
</file>

<file path=word/_rels/footnotes.xml.rels><?xml version="1.0" encoding="UTF-8"?><Relationships xmlns="http://schemas.openxmlformats.org/package/2006/relationships"><Relationship Type="http://schemas.openxmlformats.org/officeDocument/2006/relationships/hyperlink" Id="rId28" Target="https://www.cbr.washington.edu/sacramento/data/query_river_table.html" TargetMode="External" /><Relationship Type="http://schemas.openxmlformats.org/officeDocument/2006/relationships/hyperlink" Id="rId36" Target="https://www.cbr.washington.edu/sacramento/workgroups/salmon_monitoring.html" TargetMode="External" /><Relationship Type="http://schemas.openxmlformats.org/officeDocument/2006/relationships/hyperlink" Id="rId29" Target="https://www.cnrfc.noaa.gov/deterministicHourlyProductCSV.php"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66</Words>
  <Characters>356</Characters>
  <Application>Microsoft Office Word</Application>
  <DocSecurity>0</DocSecurity>
  <Lines>39</Lines>
  <Paragraphs>42</Paragraphs>
  <ScaleCrop>false</ScaleCrop>
  <Company/>
  <LinksUpToDate>false</LinksUpToDate>
  <CharactersWithSpaces>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Assessment for Delta Operations on ESA and CESA-listed Salmonids including Current Delta Hydrologic Conditions</dc:title>
  <dc:creator/>
  <cp:keywords/>
  <dcterms:created xsi:type="dcterms:W3CDTF">2026-01-14T00:05:35Z</dcterms:created>
  <dcterms:modified xsi:type="dcterms:W3CDTF">2026-01-14T00:05:35Z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xecute">
    <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subtitle">
    <vt:lpwstr>Final: Tuesday, January 13, 2026 at 4 PM</vt:lpwstr>
  </property>
  <property fmtid="{D5CDD505-2E9C-101B-9397-08002B2CF9AE}" pid="9" name="toc-title">
    <vt:lpwstr>Table of contents</vt:lpwstr>
  </property>
</Properties>
</file>