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media/rId45.png" ContentType="image/png"/>
  <Override PartName="/word/media/rId40.png" ContentType="image/png"/>
  <Override PartName="/word/media/rId68.png" ContentType="image/png"/>
  <Override PartName="/word/media/rId63.png" ContentType="image/png"/>
  <Override PartName="/word/media/rId22.png" ContentType="image/png"/>
  <Override PartName="/word/media/rId30.png" ContentType="image/png"/>
  <Override PartName="/word/media/rId5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Weekly Assessment for Delta Operations on ESA and CESA-listed Osmerids including Current Delta Hydrologic Conditions</w:t>
      </w:r>
    </w:p>
    <w:p>
      <w:pPr>
        <w:pStyle w:val="Subtitle"/>
      </w:pPr>
      <w:r>
        <w:t xml:space="preserve">Final: Tuesday, January 13, 2026 at 4 PM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r>
        <w:br w:type="page"/>
      </w:r>
    </w:p>
    <w:bookmarkStart w:id="20" w:name="executive-summary"/>
    <w:p>
      <w:pPr>
        <w:pStyle w:val="Heading2"/>
      </w:pPr>
      <w:r>
        <w:t xml:space="preserve">Executive Summary</w:t>
      </w:r>
    </w:p>
    <w:p>
      <w:pPr>
        <w:pStyle w:val="Compact"/>
        <w:numPr>
          <w:ilvl w:val="0"/>
          <w:numId w:val="1001"/>
        </w:numPr>
      </w:pPr>
      <w:r>
        <w:t xml:space="preserve">The First flush action implementation period ended on 1/7/26. Entrainment management is currently active.</w:t>
      </w:r>
    </w:p>
    <w:p>
      <w:pPr>
        <w:pStyle w:val="Compact"/>
        <w:numPr>
          <w:ilvl w:val="0"/>
          <w:numId w:val="1001"/>
        </w:numPr>
      </w:pPr>
      <w:r>
        <w:t xml:space="preserve">Delta smelt are primarily distributed west of the confluence, in Suisun Marsh</w:t>
      </w:r>
    </w:p>
    <w:p>
      <w:pPr>
        <w:pStyle w:val="Compact"/>
        <w:numPr>
          <w:ilvl w:val="0"/>
          <w:numId w:val="1001"/>
        </w:numPr>
      </w:pPr>
      <w:r>
        <w:t xml:space="preserve">No Delta smelt or longfin smelt salvage has been observed this water year</w:t>
      </w:r>
    </w:p>
    <w:p>
      <w:pPr>
        <w:pStyle w:val="Compact"/>
        <w:numPr>
          <w:ilvl w:val="0"/>
          <w:numId w:val="1001"/>
        </w:numPr>
      </w:pPr>
      <w:r>
        <w:t xml:space="preserve">Turbidity in the central/south Delta is moderate.</w:t>
      </w:r>
    </w:p>
    <w:p>
      <w:r>
        <w:br w:type="page"/>
      </w:r>
    </w:p>
    <w:bookmarkEnd w:id="20"/>
    <w:bookmarkStart w:id="35" w:name="current-delta-hydrologic-conditions"/>
    <w:p>
      <w:pPr>
        <w:pStyle w:val="Heading2"/>
      </w:pPr>
      <w:r>
        <w:t xml:space="preserve">1 Current Delta Hydrologic Conditions</w:t>
      </w:r>
    </w:p>
    <w:bookmarkStart w:id="21" w:name="operational-and-regulatory-conditions"/>
    <w:p>
      <w:pPr>
        <w:pStyle w:val="Heading3"/>
      </w:pPr>
      <w:r>
        <w:t xml:space="preserve">1.1 Operational and Regulatory Conditions</w:t>
      </w:r>
    </w:p>
    <w:p>
      <w:pPr>
        <w:pStyle w:val="FirstParagraph"/>
      </w:pPr>
      <w:r>
        <w:t xml:space="preserve">Entrainment management is the current controlling factor. See most recent weekly outlook for more information.</w:t>
      </w:r>
    </w:p>
    <w:bookmarkEnd w:id="21"/>
    <w:bookmarkStart w:id="27" w:name="current-conditions"/>
    <w:p>
      <w:pPr>
        <w:pStyle w:val="Heading3"/>
      </w:pPr>
      <w:r>
        <w:t xml:space="preserve">1.2 Current Conditions</w:t>
      </w:r>
    </w:p>
    <w:p>
      <w:pPr>
        <w:pStyle w:val="FirstParagraph"/>
      </w:pPr>
      <w:r>
        <w:t xml:space="preserve">Most recent inflow at Freeport in the Sacramento River and Vernalis in the San Joaquin River is 65,994 and 2,951 cfs respectively. Most recent 1-day, 5-day, and 14-day OMRI measurements were -4,900, -4,909, and -5,061 respectively, and most recent export data were 3,551 for Jones Pumping Plant and 1,734 for Henry O. Banks Pumping Plant.</w:t>
      </w:r>
    </w:p>
    <w:tbl>
      <w:tblPr>
        <w:tblStyle w:val="Table"/>
        <w:tblW w:type="pct" w:w="5000"/>
        <w:tblLayout w:type="fixed"/>
        <w:tblLook w:firstRow="0" w:lastRow="0" w:firstColumn="0" w:lastColumn="0" w:noHBand="0" w:noVBand="0" w:val="0000"/>
      </w:tblPr>
      <w:tblGrid>
        <w:gridCol w:w="7920"/>
      </w:tblGrid>
      <w:tr>
        <w:tc>
          <w:tcPr/>
          <w:bookmarkStart w:id="25" w:name="fig-triggers"/>
          <w:p>
            <w:pPr>
              <w:pStyle w:val="Compact"/>
              <w:jc w:val="center"/>
            </w:pPr>
            <w:r>
              <w:drawing>
                <wp:inline>
                  <wp:extent cx="5943600" cy="4622800"/>
                  <wp:effectExtent b="0" l="0" r="0" t="0"/>
                  <wp:docPr descr="" title="" id="23" name="Picture"/>
                  <a:graphic>
                    <a:graphicData uri="http://schemas.openxmlformats.org/drawingml/2006/picture">
                      <pic:pic>
                        <pic:nvPicPr>
                          <pic:cNvPr descr="combined_delta_smelt_files/figure-docx/fig-triggers-1.png" id="24" name="Picture"/>
                          <pic:cNvPicPr>
                            <a:picLocks noChangeArrowheads="1" noChangeAspect="1"/>
                          </pic:cNvPicPr>
                        </pic:nvPicPr>
                        <pic:blipFill>
                          <a:blip r:embed="rId22"/>
                          <a:stretch>
                            <a:fillRect/>
                          </a:stretch>
                        </pic:blipFill>
                        <pic:spPr bwMode="auto">
                          <a:xfrm>
                            <a:off x="0" y="0"/>
                            <a:ext cx="5943600" cy="4622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 Operations and Action Summary, WY 2026. The numbers and dashed lines in the OMRI plot indicate different triggers (see Table 1), with shading representing specific action periods. OMRI data (colored lines) calculated by SacPAS, Freeport (FPT) and Vernalis (VNS) flow data from CDEC, and CVP (TRP) and SWP (HRO) exports data from CDEC.</w:t>
            </w:r>
          </w:p>
          <w:bookmarkEnd w:id="25"/>
        </w:tc>
      </w:tr>
    </w:tbl>
    <w:tbl>
      <w:tblPr>
        <w:tblStyle w:val="Table"/>
        <w:tblW w:type="pct" w:w="5000"/>
        <w:tblLayout w:type="fixed"/>
        <w:tblLook w:firstRow="0" w:lastRow="0" w:firstColumn="0" w:lastColumn="0" w:noHBand="0" w:noVBand="0" w:val="0000"/>
      </w:tblPr>
      <w:tblGrid>
        <w:gridCol w:w="7920"/>
      </w:tblGrid>
      <w:tr>
        <w:tc>
          <w:tcPr/>
          <w:bookmarkStart w:id="26" w:name="tbl-triggers"/>
          <w:p>
            <w:pPr>
              <w:jc w:val="center"/>
            </w:pPr>
            <w:pPr>
              <w:jc w:val="left"/>
              <w:spacing w:before="200"/>
              <w:pStyle w:val="ImageCaption"/>
            </w:pPr>
            <w:r>
              <w:t xml:space="preserve">Table 1: Summary of Actions and Triggers, WY 2026</w:t>
            </w:r>
          </w:p>
          <w:tbl>
            <w:tblPr>
              <w:tblStyle w:val="Table"/>
              <w:tblW w:type="pct" w:w="5000"/>
              <w:tblLayout w:type="fixed"/>
              <w:tblLook w:firstRow="1" w:lastRow="0" w:firstColumn="0" w:lastColumn="0" w:noHBand="0" w:noVBand="0" w:val="0020"/>
            </w:tblPr>
            <w:tblGrid>
              <w:gridCol w:w="465"/>
              <w:gridCol w:w="1320"/>
              <w:gridCol w:w="1164"/>
              <w:gridCol w:w="1320"/>
              <w:gridCol w:w="1863"/>
              <w:gridCol w:w="1785"/>
            </w:tblGrid>
            <w:tr>
              <w:trPr>
                <w:tblHeader w:val="on"/>
              </w:trPr>
              <w:tc>
                <w:tcPr/>
                <w:p>
                  <w:pPr>
                    <w:pStyle w:val="Compact"/>
                    <w:jc w:val="left"/>
                    <w:jc w:val="center"/>
                  </w:pPr>
                  <w:r>
                    <w:t xml:space="preserve">Label</w:t>
                  </w:r>
                </w:p>
              </w:tc>
              <w:tc>
                <w:tcPr/>
                <w:p>
                  <w:pPr>
                    <w:pStyle w:val="Compact"/>
                    <w:jc w:val="right"/>
                    <w:jc w:val="center"/>
                  </w:pPr>
                  <w:r>
                    <w:t xml:space="preserve">Action</w:t>
                  </w:r>
                </w:p>
              </w:tc>
              <w:tc>
                <w:tcPr/>
                <w:p>
                  <w:pPr>
                    <w:pStyle w:val="Compact"/>
                    <w:jc w:val="right"/>
                    <w:jc w:val="center"/>
                  </w:pPr>
                  <w:r>
                    <w:t xml:space="preserve">Date Triggered</w:t>
                  </w:r>
                </w:p>
              </w:tc>
              <w:tc>
                <w:tcPr/>
                <w:p>
                  <w:pPr>
                    <w:pStyle w:val="Compact"/>
                    <w:jc w:val="right"/>
                    <w:jc w:val="center"/>
                  </w:pPr>
                  <w:r>
                    <w:t xml:space="preserve">Date Implemented</w:t>
                  </w:r>
                </w:p>
              </w:tc>
              <w:tc>
                <w:tcPr/>
                <w:p>
                  <w:pPr>
                    <w:pStyle w:val="Compact"/>
                    <w:jc w:val="right"/>
                    <w:jc w:val="center"/>
                  </w:pPr>
                  <w:r>
                    <w:t xml:space="preserve">Number Days Implemented</w:t>
                  </w:r>
                </w:p>
              </w:tc>
              <w:tc>
                <w:tcPr/>
                <w:p>
                  <w:pPr>
                    <w:pStyle w:val="Compact"/>
                    <w:jc w:val="right"/>
                    <w:jc w:val="center"/>
                  </w:pPr>
                  <w:r>
                    <w:t xml:space="preserve">Regulation</w:t>
                  </w:r>
                </w:p>
              </w:tc>
            </w:tr>
            <w:tr>
              <w:tc>
                <w:tcPr/>
                <w:p>
                  <w:pPr>
                    <w:pStyle w:val="Compact"/>
                    <w:jc w:val="left"/>
                    <w:jc w:val="center"/>
                  </w:pPr>
                  <w:r>
                    <w:t xml:space="preserve">1</w:t>
                  </w:r>
                </w:p>
              </w:tc>
              <w:tc>
                <w:tcPr/>
                <w:p>
                  <w:pPr>
                    <w:pStyle w:val="Compact"/>
                    <w:jc w:val="right"/>
                    <w:jc w:val="center"/>
                  </w:pPr>
                  <w:r>
                    <w:t xml:space="preserve">DCC Gate Closure</w:t>
                  </w:r>
                </w:p>
              </w:tc>
              <w:tc>
                <w:tcPr/>
                <w:p>
                  <w:pPr>
                    <w:pStyle w:val="Compact"/>
                    <w:jc w:val="right"/>
                    <w:jc w:val="center"/>
                  </w:pPr>
                  <w:r>
                    <w:t xml:space="preserve">10/28/2025</w:t>
                  </w:r>
                </w:p>
              </w:tc>
              <w:tc>
                <w:tcPr/>
                <w:p>
                  <w:pPr>
                    <w:pStyle w:val="Compact"/>
                    <w:jc w:val="right"/>
                    <w:jc w:val="center"/>
                  </w:pPr>
                  <w:r>
                    <w:t xml:space="preserve">2025-10-30</w:t>
                  </w:r>
                </w:p>
              </w:tc>
              <w:tc>
                <w:tcPr/>
                <w:p>
                  <w:pPr>
                    <w:pStyle w:val="Compact"/>
                    <w:jc w:val="right"/>
                    <w:jc w:val="center"/>
                  </w:pPr>
                  <w:r>
                    <w:t xml:space="preserve">Ongoing</w:t>
                  </w:r>
                </w:p>
              </w:tc>
              <w:tc>
                <w:tcPr/>
                <w:p>
                  <w:pPr>
                    <w:pStyle w:val="Compact"/>
                    <w:jc w:val="right"/>
                    <w:jc w:val="center"/>
                  </w:pPr>
                  <w:r>
                    <w:t xml:space="preserve">DCC gates</w:t>
                  </w:r>
                </w:p>
              </w:tc>
            </w:tr>
            <w:tr>
              <w:tc>
                <w:tcPr/>
                <w:p>
                  <w:pPr>
                    <w:pStyle w:val="Compact"/>
                    <w:jc w:val="left"/>
                    <w:jc w:val="center"/>
                  </w:pPr>
                  <w:r>
                    <w:t xml:space="preserve">2</w:t>
                  </w:r>
                </w:p>
              </w:tc>
              <w:tc>
                <w:tcPr/>
                <w:p>
                  <w:pPr>
                    <w:pStyle w:val="Compact"/>
                    <w:jc w:val="right"/>
                    <w:jc w:val="center"/>
                  </w:pPr>
                  <w:r>
                    <w:t xml:space="preserve">First Flush</w:t>
                  </w:r>
                </w:p>
              </w:tc>
              <w:tc>
                <w:tcPr/>
                <w:p>
                  <w:pPr>
                    <w:pStyle w:val="Compact"/>
                    <w:jc w:val="right"/>
                    <w:jc w:val="center"/>
                  </w:pPr>
                  <w:r>
                    <w:t xml:space="preserve">12/24/2025</w:t>
                  </w:r>
                </w:p>
              </w:tc>
              <w:tc>
                <w:tcPr/>
                <w:p>
                  <w:pPr>
                    <w:pStyle w:val="Compact"/>
                    <w:jc w:val="right"/>
                    <w:jc w:val="center"/>
                  </w:pPr>
                  <w:r>
                    <w:t xml:space="preserve">2025-12-25</w:t>
                  </w:r>
                </w:p>
              </w:tc>
              <w:tc>
                <w:tcPr/>
                <w:p>
                  <w:pPr>
                    <w:pStyle w:val="Compact"/>
                    <w:jc w:val="right"/>
                    <w:jc w:val="center"/>
                  </w:pPr>
                  <w:r>
                    <w:t xml:space="preserve">14 days</w:t>
                  </w:r>
                </w:p>
              </w:tc>
              <w:tc>
                <w:tcPr/>
                <w:p>
                  <w:pPr>
                    <w:pStyle w:val="Compact"/>
                    <w:jc w:val="right"/>
                    <w:jc w:val="center"/>
                  </w:pPr>
                  <w:r>
                    <w:t xml:space="preserve">Entrainment Management</w:t>
                  </w:r>
                </w:p>
              </w:tc>
            </w:tr>
          </w:tbl>
          <w:bookmarkEnd w:id="26"/>
          <w:p/>
        </w:tc>
      </w:tr>
    </w:tbl>
    <w:bookmarkEnd w:id="27"/>
    <w:bookmarkStart w:id="34" w:name="zone-of-influence"/>
    <w:p>
      <w:pPr>
        <w:pStyle w:val="Heading3"/>
      </w:pPr>
      <w:r>
        <w:t xml:space="preserve">1.3 Zone of Influence</w:t>
      </w:r>
    </w:p>
    <w:p>
      <w:pPr>
        <w:pStyle w:val="FirstParagraph"/>
      </w:pPr>
      <w:r>
        <w:t xml:space="preserve">Zone of Influence (ZOI) analysis is discussed in detail in the December 22 assessment. Current conditions were queried from most recent Freeport flow data on the Sacramento River and Vernalis flow data on the San Joaquin river from</w:t>
      </w:r>
      <w:r>
        <w:t xml:space="preserve"> </w:t>
      </w:r>
      <w:hyperlink r:id="rId28">
        <w:r>
          <w:rPr>
            <w:rStyle w:val="Hyperlink"/>
          </w:rPr>
          <w:t xml:space="preserve">SacPAS</w:t>
        </w:r>
      </w:hyperlink>
      <w:r>
        <w:t xml:space="preserve">. Forecasted flows were queried from short range deterministic flows provided by the</w:t>
      </w:r>
      <w:r>
        <w:t xml:space="preserve"> </w:t>
      </w:r>
      <w:hyperlink r:id="rId29">
        <w:r>
          <w:rPr>
            <w:rStyle w:val="Hyperlink"/>
          </w:rPr>
          <w:t xml:space="preserve">California Nevada River Forecast Center</w:t>
        </w:r>
      </w:hyperlink>
      <w:r>
        <w:t xml:space="preserve">.</w:t>
      </w:r>
    </w:p>
    <w:p>
      <w:pPr>
        <w:pStyle w:val="BodyText"/>
      </w:pPr>
      <w:r>
        <w:t xml:space="preserve">Current conditions at Freeport and Vernalis indicate that delta hydrology falls within the</w:t>
      </w:r>
      <w:r>
        <w:t xml:space="preserve"> </w:t>
      </w:r>
      <w:r>
        <w:t xml:space="preserve">‘himed’</w:t>
      </w:r>
      <w:r>
        <w:t xml:space="preserve"> </w:t>
      </w:r>
      <w:r>
        <w:t xml:space="preserve">category. Forecasted conditions averaged across the next 7 days falls within the</w:t>
      </w:r>
      <w:r>
        <w:t xml:space="preserve"> </w:t>
      </w:r>
      <w:r>
        <w:t xml:space="preserve">‘himed’</w:t>
      </w:r>
      <w:r>
        <w:t xml:space="preserve"> </w:t>
      </w:r>
      <w:r>
        <w:t xml:space="preserve">category.</w:t>
      </w:r>
    </w:p>
    <w:p>
      <w:pPr>
        <w:pStyle w:val="BodyText"/>
      </w:pPr>
      <w:r>
        <w:t xml:space="preserve">The altered channel length for the current</w:t>
      </w:r>
      <w:r>
        <w:t xml:space="preserve"> </w:t>
      </w:r>
      <w:r>
        <w:t xml:space="preserve">“himed”</w:t>
      </w:r>
      <w:r>
        <w:t xml:space="preserve"> </w:t>
      </w:r>
      <w:r>
        <w:t xml:space="preserve">hydrology is 23, 53, 118 and 111 kilometers (km) across OMR bins of -2000, -3500, -5000 and &lt;-5500 respectively. The altered channel length for forecasted</w:t>
      </w:r>
      <w:r>
        <w:t xml:space="preserve"> </w:t>
      </w:r>
      <w:r>
        <w:t xml:space="preserve">“himed”</w:t>
      </w:r>
      <w:r>
        <w:t xml:space="preserve"> </w:t>
      </w:r>
      <w:r>
        <w:t xml:space="preserve">hydrology is 23, 53, 118 and 111 kilometeres (km) across OMR bins of -2000, -3500, -5000 and &lt;-5500 respectively.</w:t>
      </w:r>
    </w:p>
    <w:p>
      <w:pPr>
        <w:pStyle w:val="BodyText"/>
      </w:pPr>
      <w:r>
        <w:t xml:space="preserve">Change in altered channel length between OMR levels is 88 km for current conditions and 88 km for forecasted conditions indicating that ZOI impacts across OMR scenarios would not change between current and forecasted conditions. Across the nine hydrology bins, changes in altered channel length across OMR scenarios are moderate (between 25th and 75th percentiles) for both current and forecasted hydrology.</w:t>
      </w:r>
    </w:p>
    <w:tbl>
      <w:tblPr>
        <w:tblStyle w:val="Table"/>
        <w:tblW w:type="pct" w:w="5000"/>
        <w:tblLayout w:type="fixed"/>
        <w:tblLook w:firstRow="0" w:lastRow="0" w:firstColumn="0" w:lastColumn="0" w:noHBand="0" w:noVBand="0" w:val="0000"/>
      </w:tblPr>
      <w:tblGrid>
        <w:gridCol w:w="7920"/>
      </w:tblGrid>
      <w:tr>
        <w:tc>
          <w:tcPr/>
          <w:bookmarkStart w:id="33" w:name="fig-zoi_graph"/>
          <w:p>
            <w:pPr>
              <w:pStyle w:val="Compact"/>
              <w:jc w:val="center"/>
            </w:pPr>
            <w:r>
              <w:drawing>
                <wp:inline>
                  <wp:extent cx="5943600" cy="2971800"/>
                  <wp:effectExtent b="0" l="0" r="0" t="0"/>
                  <wp:docPr descr="" title="" id="31" name="Picture"/>
                  <a:graphic>
                    <a:graphicData uri="http://schemas.openxmlformats.org/drawingml/2006/picture">
                      <pic:pic>
                        <pic:nvPicPr>
                          <pic:cNvPr descr="combined_delta_smelt_files/figure-docx/fig-zoi_graph-1.png" id="32" name="Picture"/>
                          <pic:cNvPicPr>
                            <a:picLocks noChangeArrowheads="1" noChangeAspect="1"/>
                          </pic:cNvPicPr>
                        </pic:nvPicPr>
                        <pic:blipFill>
                          <a:blip r:embed="rId30"/>
                          <a:stretch>
                            <a:fillRect/>
                          </a:stretch>
                        </pic:blipFill>
                        <pic:spPr bwMode="auto">
                          <a:xfrm>
                            <a:off x="0" y="0"/>
                            <a:ext cx="59436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Modeled Zone of Influence at different OMRI scenarios based on current inflow hydrology (left) and forecasted inflow hydrology (right) from the Sacramento River and San Joaquin River</w:t>
            </w:r>
          </w:p>
          <w:bookmarkEnd w:id="33"/>
        </w:tc>
      </w:tr>
    </w:tbl>
    <w:p>
      <w:r>
        <w:br w:type="page"/>
      </w:r>
    </w:p>
    <w:bookmarkEnd w:id="34"/>
    <w:bookmarkEnd w:id="35"/>
    <w:bookmarkStart w:id="81" w:name="X6826eb71b2e7ccf0cae7c428170c7924ae60314"/>
    <w:p>
      <w:pPr>
        <w:pStyle w:val="Heading2"/>
      </w:pPr>
      <w:r>
        <w:t xml:space="preserve">2 Weekly Assessment for Delta Operations on ESA and CESA-listed Osmerids</w:t>
      </w:r>
    </w:p>
    <w:bookmarkStart w:id="37" w:name="operational-and-regulatory-conditions-1"/>
    <w:p>
      <w:pPr>
        <w:pStyle w:val="Heading3"/>
      </w:pPr>
      <w:r>
        <w:t xml:space="preserve">2.1 Operational and Regulatory Conditions</w:t>
      </w:r>
    </w:p>
    <w:p>
      <w:pPr>
        <w:pStyle w:val="Compact"/>
        <w:numPr>
          <w:ilvl w:val="0"/>
          <w:numId w:val="1002"/>
        </w:numPr>
      </w:pPr>
      <w:r>
        <w:t xml:space="preserve">See current Weekly Fish and Water Operations Outlook document.</w:t>
      </w:r>
    </w:p>
    <w:p>
      <w:pPr>
        <w:pStyle w:val="Compact"/>
        <w:numPr>
          <w:ilvl w:val="0"/>
          <w:numId w:val="1002"/>
        </w:numPr>
      </w:pPr>
      <w:r>
        <w:t xml:space="preserve">Additional information also available on the</w:t>
      </w:r>
      <w:r>
        <w:t xml:space="preserve"> </w:t>
      </w:r>
      <w:hyperlink r:id="rId36">
        <w:r>
          <w:rPr>
            <w:rStyle w:val="Hyperlink"/>
          </w:rPr>
          <w:t xml:space="preserve">SacPAS SMT page</w:t>
        </w:r>
      </w:hyperlink>
      <w:r>
        <w:t xml:space="preserve">.</w:t>
      </w:r>
    </w:p>
    <w:bookmarkEnd w:id="37"/>
    <w:bookmarkStart w:id="61" w:name="delta-smelt"/>
    <w:p>
      <w:pPr>
        <w:pStyle w:val="Heading3"/>
      </w:pPr>
      <w:r>
        <w:t xml:space="preserve">2.2 Delta smelt</w:t>
      </w:r>
    </w:p>
    <w:bookmarkStart w:id="49" w:name="biological"/>
    <w:p>
      <w:pPr>
        <w:pStyle w:val="Heading4"/>
      </w:pPr>
      <w:r>
        <w:t xml:space="preserve">2.2.1 Biological</w:t>
      </w:r>
    </w:p>
    <w:p>
      <w:pPr>
        <w:numPr>
          <w:ilvl w:val="0"/>
          <w:numId w:val="1003"/>
        </w:numPr>
      </w:pPr>
      <w:r>
        <w:rPr>
          <w:b/>
          <w:bCs/>
        </w:rPr>
        <w:t xml:space="preserve">Delta smelt life stages:</w:t>
      </w:r>
      <w:r>
        <w:t xml:space="preserve"> </w:t>
      </w:r>
      <w:r>
        <w:t xml:space="preserve">Adult, Juvenile</w:t>
      </w:r>
    </w:p>
    <w:p>
      <w:pPr>
        <w:numPr>
          <w:ilvl w:val="0"/>
          <w:numId w:val="1003"/>
        </w:numPr>
      </w:pPr>
      <w:r>
        <w:rPr>
          <w:b/>
          <w:bCs/>
        </w:rPr>
        <w:t xml:space="preserve">Abundance estimate:</w:t>
      </w:r>
      <w:r>
        <w:t xml:space="preserve"> </w:t>
      </w:r>
      <w:r>
        <w:t xml:space="preserve">8963 (95% CL: 1,984 to 26,236) as of the week of January 5–9, 2026</w:t>
      </w:r>
    </w:p>
    <w:p>
      <w:pPr>
        <w:numPr>
          <w:ilvl w:val="0"/>
          <w:numId w:val="1003"/>
        </w:numPr>
      </w:pPr>
      <w:r>
        <w:rPr>
          <w:b/>
          <w:bCs/>
        </w:rPr>
        <w:t xml:space="preserve">Releases:</w:t>
      </w:r>
      <w:r>
        <w:t xml:space="preserve"> </w:t>
      </w:r>
      <w:r>
        <w:t xml:space="preserve">A total of 163,349 cultured Delta smelt have been released for WY 2026. The most recent release of 24,606 fish occurred in Sacramento River at Rio Vista on Dec 16, 2025.</w:t>
      </w:r>
    </w:p>
    <w:p>
      <w:pPr>
        <w:numPr>
          <w:ilvl w:val="0"/>
          <w:numId w:val="1003"/>
        </w:numPr>
      </w:pPr>
      <w:r>
        <w:rPr>
          <w:b/>
          <w:bCs/>
        </w:rPr>
        <w:t xml:space="preserve">Delta smelt count:</w:t>
      </w:r>
      <w:r>
        <w:t xml:space="preserve"> </w:t>
      </w:r>
      <w:r>
        <w:t xml:space="preserve">33 adult Delta smelt and 24 juvenile Delta smelt have been detected this water year. See</w:t>
      </w:r>
      <w:r>
        <w:t xml:space="preserve"> </w:t>
      </w:r>
      <w:hyperlink w:anchor="tbl-ds-recent-catch">
        <w:r>
          <w:rPr>
            <w:rStyle w:val="Hyperlink"/>
          </w:rPr>
          <w:t xml:space="preserve">Table 2</w:t>
        </w:r>
      </w:hyperlink>
      <w:r>
        <w:t xml:space="preserve"> </w:t>
      </w:r>
      <w:r>
        <w:t xml:space="preserve">for recent detections,</w:t>
      </w:r>
      <w:r>
        <w:t xml:space="preserve"> </w:t>
      </w:r>
      <w:hyperlink w:anchor="fig-ds-map">
        <w:r>
          <w:rPr>
            <w:rStyle w:val="Hyperlink"/>
          </w:rPr>
          <w:t xml:space="preserve">Figure 3</w:t>
        </w:r>
      </w:hyperlink>
      <w:r>
        <w:t xml:space="preserve"> </w:t>
      </w:r>
      <w:r>
        <w:t xml:space="preserve">for spatial distribution, and</w:t>
      </w:r>
      <w:r>
        <w:t xml:space="preserve"> </w:t>
      </w:r>
      <w:hyperlink w:anchor="fig-ds-catch">
        <w:r>
          <w:rPr>
            <w:rStyle w:val="Hyperlink"/>
          </w:rPr>
          <w:t xml:space="preserve">Figure 4</w:t>
        </w:r>
      </w:hyperlink>
      <w:r>
        <w:t xml:space="preserve"> </w:t>
      </w:r>
      <w:r>
        <w:t xml:space="preserve">for temporal distribution.</w:t>
      </w:r>
    </w:p>
    <w:p>
      <w:pPr>
        <w:numPr>
          <w:ilvl w:val="0"/>
          <w:numId w:val="1003"/>
        </w:numPr>
      </w:pPr>
      <w:r>
        <w:rPr>
          <w:b/>
          <w:bCs/>
        </w:rPr>
        <w:t xml:space="preserve">Delta smelt salvage:</w:t>
      </w:r>
      <w:r>
        <w:t xml:space="preserve"> </w:t>
      </w:r>
      <w:r>
        <w:t xml:space="preserve">0 Delta smelt have been salvaged, and the cumulative seasonal salvage is 0.</w:t>
      </w:r>
    </w:p>
    <w:p>
      <w:pPr>
        <w:pStyle w:val="FirstParagraph"/>
      </w:pPr>
      <w:r>
        <w:rPr>
          <w:b/>
          <w:bCs/>
        </w:rPr>
        <w:t xml:space="preserve">Notes</w:t>
      </w:r>
    </w:p>
    <w:p>
      <w:pPr>
        <w:pStyle w:val="Compact"/>
        <w:numPr>
          <w:ilvl w:val="0"/>
          <w:numId w:val="1004"/>
        </w:numPr>
      </w:pPr>
      <w:r>
        <w:t xml:space="preserve">Since there are few recent detections of Delta smelt, estimation of distribution within the Delta is limited.</w:t>
      </w:r>
    </w:p>
    <w:p>
      <w:pPr>
        <w:pStyle w:val="Compact"/>
        <w:numPr>
          <w:ilvl w:val="0"/>
          <w:numId w:val="1004"/>
        </w:numPr>
      </w:pPr>
      <w:r>
        <w:t xml:space="preserve">As mentioned in EDSM reporting, fork length ranges reported for Delta smelt and longfin smelt life stages are defined by permit reporting purposes and are not intended to delineate cohorts or distinguish from hatchery or wild origin. See</w:t>
      </w:r>
      <w:r>
        <w:t xml:space="preserve"> </w:t>
      </w:r>
      <w:hyperlink w:anchor="tbl-ds-recent-catch">
        <w:r>
          <w:rPr>
            <w:rStyle w:val="Hyperlink"/>
          </w:rPr>
          <w:t xml:space="preserve">Table 2</w:t>
        </w:r>
      </w:hyperlink>
      <w:r>
        <w:t xml:space="preserve"> </w:t>
      </w:r>
      <w:r>
        <w:t xml:space="preserve">caption for fork-length ranges for age groups of Delta smelt.</w:t>
      </w:r>
    </w:p>
    <w:p>
      <w:pPr>
        <w:pStyle w:val="Compact"/>
        <w:numPr>
          <w:ilvl w:val="0"/>
          <w:numId w:val="1004"/>
        </w:numPr>
      </w:pPr>
      <w:r>
        <w:t xml:space="preserve">See</w:t>
      </w:r>
      <w:r>
        <w:t xml:space="preserve"> </w:t>
      </w:r>
      <w:hyperlink r:id="rId36">
        <w:r>
          <w:rPr>
            <w:rStyle w:val="Hyperlink"/>
          </w:rPr>
          <w:t xml:space="preserve">SacPAS SMT Page</w:t>
        </w:r>
      </w:hyperlink>
      <w:r>
        <w:t xml:space="preserve"> </w:t>
      </w:r>
      <w:r>
        <w:t xml:space="preserve">for additional details on releases and detection in surveys and salvage.</w:t>
      </w:r>
    </w:p>
    <w:p>
      <w:pPr>
        <w:pStyle w:val="Compact"/>
        <w:numPr>
          <w:ilvl w:val="0"/>
          <w:numId w:val="1004"/>
        </w:numPr>
      </w:pPr>
      <w:r>
        <w:t xml:space="preserve">Historical salvage trends can be found at:</w:t>
      </w:r>
      <w:r>
        <w:t xml:space="preserve"> </w:t>
      </w:r>
      <w:hyperlink r:id="rId38">
        <w:r>
          <w:rPr>
            <w:rStyle w:val="Hyperlink"/>
          </w:rPr>
          <w:t xml:space="preserve">SacPAS Salvage Timing</w:t>
        </w:r>
      </w:hyperlink>
    </w:p>
    <w:tbl>
      <w:tblPr>
        <w:tblStyle w:val="Table"/>
        <w:tblW w:type="pct" w:w="5000"/>
        <w:tblLayout w:type="fixed"/>
        <w:tblLook w:firstRow="0" w:lastRow="0" w:firstColumn="0" w:lastColumn="0" w:noHBand="0" w:noVBand="0" w:val="0000"/>
      </w:tblPr>
      <w:tblGrid>
        <w:gridCol w:w="7920"/>
      </w:tblGrid>
      <w:tr>
        <w:tc>
          <w:tcPr/>
          <w:bookmarkStart w:id="39" w:name="tbl-ds-recent-catch"/>
          <w:p>
            <w:pPr>
              <w:jc w:val="center"/>
            </w:pPr>
            <w:pPr>
              <w:jc w:val="left"/>
              <w:spacing w:before="200"/>
              <w:pStyle w:val="ImageCaption"/>
            </w:pPr>
            <w:r>
              <w:t xml:space="preserve">Table 2: Delta smelt detections in the last 2 weeks. Fork Length &gt; 58mm = Adult, Fork Length 20-58mm = Juvenile, Fork Length &lt; 20mm = Larva.</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Survey</w:t>
                  </w:r>
                </w:p>
              </w:tc>
              <w:tc>
                <w:tcPr/>
                <w:p>
                  <w:pPr>
                    <w:pStyle w:val="Compact"/>
                    <w:jc w:val="left"/>
                    <w:jc w:val="center"/>
                  </w:pPr>
                  <w:r>
                    <w:t xml:space="preserve">Date</w:t>
                  </w:r>
                </w:p>
              </w:tc>
              <w:tc>
                <w:tcPr/>
                <w:p>
                  <w:pPr>
                    <w:pStyle w:val="Compact"/>
                    <w:jc w:val="left"/>
                    <w:jc w:val="center"/>
                  </w:pPr>
                  <w:r>
                    <w:t xml:space="preserve">Region</w:t>
                  </w:r>
                </w:p>
              </w:tc>
              <w:tc>
                <w:tcPr/>
                <w:p>
                  <w:pPr>
                    <w:pStyle w:val="Compact"/>
                    <w:jc w:val="left"/>
                    <w:jc w:val="center"/>
                  </w:pPr>
                  <w:r>
                    <w:t xml:space="preserve">Stratum</w:t>
                  </w:r>
                </w:p>
              </w:tc>
              <w:tc>
                <w:tcPr/>
                <w:p>
                  <w:pPr>
                    <w:pStyle w:val="Compact"/>
                    <w:jc w:val="left"/>
                    <w:jc w:val="center"/>
                  </w:pPr>
                  <w:r>
                    <w:t xml:space="preserve">Life Stage</w:t>
                  </w:r>
                </w:p>
              </w:tc>
              <w:tc>
                <w:tcPr/>
                <w:p>
                  <w:pPr>
                    <w:pStyle w:val="Compact"/>
                    <w:jc w:val="right"/>
                    <w:jc w:val="center"/>
                  </w:pPr>
                  <w:r>
                    <w:t xml:space="preserve">Catch</w:t>
                  </w:r>
                </w:p>
              </w:tc>
            </w:tr>
            <w:tr>
              <w:tc>
                <w:tcPr/>
                <w:p>
                  <w:pPr>
                    <w:pStyle w:val="Compact"/>
                    <w:jc w:val="left"/>
                    <w:jc w:val="center"/>
                  </w:pPr>
                  <w:r>
                    <w:t xml:space="preserve">EDSM</w:t>
                  </w:r>
                </w:p>
              </w:tc>
              <w:tc>
                <w:tcPr/>
                <w:p>
                  <w:pPr>
                    <w:pStyle w:val="Compact"/>
                    <w:jc w:val="left"/>
                    <w:jc w:val="center"/>
                  </w:pPr>
                  <w:r>
                    <w:t xml:space="preserve">2026-01-02</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2026-01-02</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2026-01-08</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EDSM</w:t>
                  </w:r>
                </w:p>
              </w:tc>
              <w:tc>
                <w:tcPr/>
                <w:p>
                  <w:pPr>
                    <w:pStyle w:val="Compact"/>
                    <w:jc w:val="left"/>
                    <w:jc w:val="center"/>
                  </w:pPr>
                  <w:r>
                    <w:t xml:space="preserve">2026-01-08</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bl>
          <w:bookmarkEnd w:id="39"/>
          <w:p/>
        </w:tc>
      </w:tr>
    </w:tbl>
    <w:tbl>
      <w:tblPr>
        <w:tblStyle w:val="Table"/>
        <w:tblW w:type="pct" w:w="5000"/>
        <w:tblLayout w:type="fixed"/>
        <w:tblLook w:firstRow="0" w:lastRow="0" w:firstColumn="0" w:lastColumn="0" w:noHBand="0" w:noVBand="0" w:val="0000"/>
      </w:tblPr>
      <w:tblGrid>
        <w:gridCol w:w="7920"/>
      </w:tblGrid>
      <w:tr>
        <w:tc>
          <w:tcPr/>
          <w:bookmarkStart w:id="43" w:name="fig-ds-map"/>
          <w:p>
            <w:pPr>
              <w:pStyle w:val="Compact"/>
              <w:jc w:val="center"/>
            </w:pPr>
            <w:r>
              <w:drawing>
                <wp:inline>
                  <wp:extent cx="5943600" cy="5200650"/>
                  <wp:effectExtent b="0" l="0" r="0" t="0"/>
                  <wp:docPr descr="" title="" id="41" name="Picture"/>
                  <a:graphic>
                    <a:graphicData uri="http://schemas.openxmlformats.org/drawingml/2006/picture">
                      <pic:pic>
                        <pic:nvPicPr>
                          <pic:cNvPr descr="combined_delta_smelt_files/figure-docx/fig-ds-map-1.png" id="42" name="Picture"/>
                          <pic:cNvPicPr>
                            <a:picLocks noChangeArrowheads="1" noChangeAspect="1"/>
                          </pic:cNvPicPr>
                        </pic:nvPicPr>
                        <pic:blipFill>
                          <a:blip r:embed="rId40"/>
                          <a:stretch>
                            <a:fillRect/>
                          </a:stretch>
                        </pic:blipFill>
                        <pic:spPr bwMode="auto">
                          <a:xfrm>
                            <a:off x="0" y="0"/>
                            <a:ext cx="5943600" cy="5200650"/>
                          </a:xfrm>
                          <a:prstGeom prst="rect">
                            <a:avLst/>
                          </a:prstGeom>
                          <a:noFill/>
                          <a:ln w="9525">
                            <a:noFill/>
                            <a:headEnd/>
                            <a:tailEnd/>
                          </a:ln>
                        </pic:spPr>
                      </pic:pic>
                    </a:graphicData>
                  </a:graphic>
                </wp:inline>
              </w:drawing>
            </w:r>
          </w:p>
          <w:p>
            <w:pPr>
              <w:jc w:val="center"/>
            </w:pPr>
            <w:pPr>
              <w:jc w:val="left"/>
              <w:spacing w:before="200"/>
              <w:pStyle w:val="ImageCaption"/>
            </w:pPr>
            <w:r>
              <w:t xml:space="preserve">Figure 3: Delta smelt distribution for WY 2026</w:t>
            </w:r>
          </w:p>
          <w:bookmarkEnd w:id="43"/>
        </w:tc>
      </w:tr>
    </w:tbl>
    <w:tbl>
      <w:tblPr>
        <w:tblStyle w:val="Table"/>
        <w:tblW w:type="pct" w:w="5000"/>
        <w:tblLayout w:type="fixed"/>
        <w:tblLook w:firstRow="0" w:lastRow="0" w:firstColumn="0" w:lastColumn="0" w:noHBand="0" w:noVBand="0" w:val="0000"/>
      </w:tblPr>
      <w:tblGrid>
        <w:gridCol w:w="7920"/>
      </w:tblGrid>
      <w:tr>
        <w:tc>
          <w:tcPr/>
          <w:bookmarkStart w:id="44" w:name="tbl-catch-all"/>
          <w:p>
            <w:pPr>
              <w:jc w:val="center"/>
            </w:pPr>
            <w:pPr>
              <w:jc w:val="left"/>
              <w:spacing w:before="200"/>
              <w:pStyle w:val="ImageCaption"/>
            </w:pPr>
            <w:r>
              <w:t xml:space="preserve">Table 3: Delta smelt water year totals by life stage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Survey</w:t>
                  </w:r>
                </w:p>
              </w:tc>
              <w:tc>
                <w:tcPr/>
                <w:p>
                  <w:pPr>
                    <w:pStyle w:val="Compact"/>
                    <w:jc w:val="left"/>
                    <w:jc w:val="center"/>
                  </w:pPr>
                  <w:r>
                    <w:t xml:space="preserve">Region</w:t>
                  </w:r>
                </w:p>
              </w:tc>
              <w:tc>
                <w:tcPr/>
                <w:p>
                  <w:pPr>
                    <w:pStyle w:val="Compact"/>
                    <w:jc w:val="left"/>
                    <w:jc w:val="center"/>
                  </w:pPr>
                  <w:r>
                    <w:t xml:space="preserve">Life Stage</w:t>
                  </w:r>
                </w:p>
              </w:tc>
              <w:tc>
                <w:tcPr/>
                <w:p>
                  <w:pPr>
                    <w:pStyle w:val="Compact"/>
                    <w:jc w:val="right"/>
                    <w:jc w:val="center"/>
                  </w:pPr>
                  <w:r>
                    <w:t xml:space="preserve">Total</w:t>
                  </w:r>
                </w:p>
              </w:tc>
            </w:tr>
            <w:tr>
              <w:tc>
                <w:tcPr/>
                <w:p>
                  <w:pPr>
                    <w:pStyle w:val="Compact"/>
                    <w:jc w:val="left"/>
                    <w:jc w:val="center"/>
                  </w:pPr>
                  <w:r>
                    <w:t xml:space="preserve">DJFMP</w:t>
                  </w:r>
                </w:p>
              </w:tc>
              <w:tc>
                <w:tcPr/>
                <w:p>
                  <w:pPr>
                    <w:pStyle w:val="Compact"/>
                    <w:jc w:val="left"/>
                    <w:jc w:val="center"/>
                  </w:pPr>
                  <w:r>
                    <w:t xml:space="preserve">North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North</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32</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23</w:t>
                  </w:r>
                </w:p>
              </w:tc>
            </w:tr>
          </w:tbl>
          <w:bookmarkEnd w:id="44"/>
          <w:p/>
        </w:tc>
      </w:tr>
    </w:tbl>
    <w:tbl>
      <w:tblPr>
        <w:tblStyle w:val="Table"/>
        <w:tblW w:type="pct" w:w="5000"/>
        <w:tblLayout w:type="fixed"/>
        <w:tblLook w:firstRow="0" w:lastRow="0" w:firstColumn="0" w:lastColumn="0" w:noHBand="0" w:noVBand="0" w:val="0000"/>
      </w:tblPr>
      <w:tblGrid>
        <w:gridCol w:w="7920"/>
      </w:tblGrid>
      <w:tr>
        <w:tc>
          <w:tcPr/>
          <w:bookmarkStart w:id="48" w:name="fig-ds-catch"/>
          <w:p>
            <w:pPr>
              <w:pStyle w:val="Compact"/>
              <w:jc w:val="center"/>
            </w:pPr>
            <w:r>
              <w:drawing>
                <wp:inline>
                  <wp:extent cx="4578104" cy="3662483"/>
                  <wp:effectExtent b="0" l="0" r="0" t="0"/>
                  <wp:docPr descr="" title="" id="46" name="Picture"/>
                  <a:graphic>
                    <a:graphicData uri="http://schemas.openxmlformats.org/drawingml/2006/picture">
                      <pic:pic>
                        <pic:nvPicPr>
                          <pic:cNvPr descr="combined_delta_smelt_files/figure-docx/fig-ds-catch-1.png" id="47" name="Picture"/>
                          <pic:cNvPicPr>
                            <a:picLocks noChangeArrowheads="1" noChangeAspect="1"/>
                          </pic:cNvPicPr>
                        </pic:nvPicPr>
                        <pic:blipFill>
                          <a:blip r:embed="rId45"/>
                          <a:stretch>
                            <a:fillRect/>
                          </a:stretch>
                        </pic:blipFill>
                        <pic:spPr bwMode="auto">
                          <a:xfrm>
                            <a:off x="0" y="0"/>
                            <a:ext cx="4578104" cy="3662483"/>
                          </a:xfrm>
                          <a:prstGeom prst="rect">
                            <a:avLst/>
                          </a:prstGeom>
                          <a:noFill/>
                          <a:ln w="9525">
                            <a:noFill/>
                            <a:headEnd/>
                            <a:tailEnd/>
                          </a:ln>
                        </pic:spPr>
                      </pic:pic>
                    </a:graphicData>
                  </a:graphic>
                </wp:inline>
              </w:drawing>
            </w:r>
          </w:p>
          <w:p>
            <w:pPr>
              <w:jc w:val="center"/>
            </w:pPr>
            <w:pPr>
              <w:jc w:val="left"/>
              <w:spacing w:before="200"/>
              <w:pStyle w:val="ImageCaption"/>
            </w:pPr>
            <w:r>
              <w:t xml:space="preserve">Figure 4: Time series of Delta smelt catch, WY 2026</w:t>
            </w:r>
          </w:p>
          <w:bookmarkEnd w:id="48"/>
        </w:tc>
      </w:tr>
    </w:tbl>
    <w:bookmarkEnd w:id="49"/>
    <w:bookmarkStart w:id="51" w:name="environmental"/>
    <w:p>
      <w:pPr>
        <w:pStyle w:val="Heading4"/>
      </w:pPr>
      <w:r>
        <w:t xml:space="preserve">2.2.2 Environmental</w:t>
      </w:r>
    </w:p>
    <w:bookmarkStart w:id="50" w:name="first-flush"/>
    <w:p>
      <w:pPr>
        <w:pStyle w:val="Heading5"/>
      </w:pPr>
      <w:r>
        <w:t xml:space="preserve">2.2.2.1 First Flush</w:t>
      </w:r>
    </w:p>
    <w:p>
      <w:pPr>
        <w:pStyle w:val="Compact"/>
        <w:numPr>
          <w:ilvl w:val="0"/>
          <w:numId w:val="1005"/>
        </w:numPr>
      </w:pPr>
      <w:r>
        <w:t xml:space="preserve">Not relevant</w:t>
      </w:r>
    </w:p>
    <w:bookmarkEnd w:id="50"/>
    <w:bookmarkEnd w:id="51"/>
    <w:bookmarkStart w:id="58" w:name="real-time-assessment-thresholds"/>
    <w:p>
      <w:pPr>
        <w:pStyle w:val="Heading4"/>
      </w:pPr>
      <w:r>
        <w:t xml:space="preserve">2.2.3 Real-time Assessment Thresholds</w:t>
      </w:r>
    </w:p>
    <w:bookmarkStart w:id="56" w:name="adult-delta-smelt"/>
    <w:p>
      <w:pPr>
        <w:pStyle w:val="Heading5"/>
      </w:pPr>
      <w:r>
        <w:t xml:space="preserve">2.2.3.1 Adult Delta smelt</w:t>
      </w:r>
    </w:p>
    <w:p>
      <w:pPr>
        <w:pStyle w:val="FirstParagraph"/>
      </w:pPr>
      <w:r>
        <w:rPr>
          <w:b/>
          <w:bCs/>
        </w:rPr>
        <w:t xml:space="preserve">Threshold</w:t>
      </w:r>
      <w:r>
        <w:t xml:space="preserve">: If daily average JPF &lt; 0 AND turbidity</w:t>
      </w:r>
      <w:r>
        <w:t xml:space="preserve"> </w:t>
      </w:r>
      <m:oMath>
        <m:r>
          <m:rPr>
            <m:sty m:val="p"/>
          </m:rPr>
          <m:t>≥</m:t>
        </m:r>
      </m:oMath>
      <w:r>
        <w:t xml:space="preserve"> </w:t>
      </w:r>
      <w:r>
        <w:t xml:space="preserve">12 FNU at OBI, HOL and OSJ</w:t>
      </w:r>
    </w:p>
    <w:p>
      <w:pPr>
        <w:pStyle w:val="Compact"/>
        <w:numPr>
          <w:ilvl w:val="0"/>
          <w:numId w:val="1006"/>
        </w:numPr>
      </w:pPr>
      <w:r>
        <w:rPr>
          <w:b/>
          <w:bCs/>
        </w:rPr>
        <w:t xml:space="preserve">JPF</w:t>
      </w:r>
      <w:r>
        <w:t xml:space="preserve">: 9,041 cfs as of Jan 12, 2026</w:t>
      </w:r>
    </w:p>
    <w:p>
      <w:pPr>
        <w:pStyle w:val="Compact"/>
        <w:numPr>
          <w:ilvl w:val="0"/>
          <w:numId w:val="1006"/>
        </w:numPr>
      </w:pPr>
      <w:r>
        <w:rPr>
          <w:b/>
          <w:bCs/>
        </w:rPr>
        <w:t xml:space="preserve">OBI Turbidity</w:t>
      </w:r>
      <w:r>
        <w:t xml:space="preserve">: 6.76, 6.66, 6.46 FNU as of Jan 12, 2026</w:t>
      </w:r>
    </w:p>
    <w:p>
      <w:pPr>
        <w:pStyle w:val="Compact"/>
        <w:numPr>
          <w:ilvl w:val="0"/>
          <w:numId w:val="1006"/>
        </w:numPr>
      </w:pPr>
      <w:r>
        <w:rPr>
          <w:b/>
          <w:bCs/>
        </w:rPr>
        <w:t xml:space="preserve">HOL Turbidity</w:t>
      </w:r>
      <w:r>
        <w:t xml:space="preserve">: 8.52, 7.39, 7.01 FNU as of Jan 12, 2026</w:t>
      </w:r>
    </w:p>
    <w:p>
      <w:pPr>
        <w:pStyle w:val="Compact"/>
        <w:numPr>
          <w:ilvl w:val="0"/>
          <w:numId w:val="1006"/>
        </w:numPr>
      </w:pPr>
      <w:r>
        <w:rPr>
          <w:b/>
          <w:bCs/>
        </w:rPr>
        <w:t xml:space="preserve">OSJ Turbidity</w:t>
      </w:r>
      <w:r>
        <w:t xml:space="preserve">: 15.31, 18.22, 18.8 FNU as of Jan 12, 2026</w:t>
      </w:r>
    </w:p>
    <w:p>
      <w:pPr>
        <w:pStyle w:val="FirstParagraph"/>
      </w:pPr>
      <w:r>
        <w:rPr>
          <w:b/>
          <w:bCs/>
        </w:rPr>
        <w:t xml:space="preserve">Offramp Adult Protections</w:t>
      </w:r>
      <w:r>
        <w:t xml:space="preserve"> </w:t>
      </w:r>
      <w:r>
        <w:t xml:space="preserve">when RVB or SJJ &gt; 12</w:t>
      </w:r>
      <m:oMath>
        <m:sSup>
          <m:e>
            <m:r>
              <m:t>​</m:t>
            </m:r>
          </m:e>
          <m:sup>
            <m:r>
              <m:rPr>
                <m:sty m:val="p"/>
              </m:rPr>
              <m:t>∘</m:t>
            </m:r>
          </m:sup>
        </m:sSup>
      </m:oMath>
      <w:r>
        <w:t xml:space="preserve">C</w:t>
      </w:r>
      <w:r>
        <w:t xml:space="preserve"> </w:t>
      </w:r>
    </w:p>
    <w:p>
      <w:pPr>
        <w:pStyle w:val="Compact"/>
        <w:numPr>
          <w:ilvl w:val="0"/>
          <w:numId w:val="1007"/>
        </w:numPr>
      </w:pPr>
      <w:r>
        <w:rPr>
          <w:b/>
          <w:bCs/>
        </w:rPr>
        <w:t xml:space="preserve">RVB temperature (3-day average)</w:t>
      </w:r>
      <w:r>
        <w:t xml:space="preserve">: 9.98</w:t>
      </w:r>
      <m:oMath>
        <m:sSup>
          <m:e>
            <m:r>
              <m:t>​</m:t>
            </m:r>
          </m:e>
          <m:sup>
            <m:r>
              <m:rPr>
                <m:sty m:val="p"/>
              </m:rPr>
              <m:t>∘</m:t>
            </m:r>
          </m:sup>
        </m:sSup>
      </m:oMath>
      <w:r>
        <w:t xml:space="preserve">C as of Jan 12, 2026</w:t>
      </w:r>
    </w:p>
    <w:p>
      <w:pPr>
        <w:pStyle w:val="FirstParagraph"/>
      </w:pPr>
      <w:r>
        <w:drawing>
          <wp:inline>
            <wp:extent cx="5052060" cy="3608614"/>
            <wp:effectExtent b="0" l="0" r="0" t="0"/>
            <wp:docPr descr="" title="" id="53" name="Picture"/>
            <a:graphic>
              <a:graphicData uri="http://schemas.openxmlformats.org/drawingml/2006/picture">
                <pic:pic>
                  <pic:nvPicPr>
                    <pic:cNvPr descr="smelt_figures/freeport_turbidity.png" id="54" name="Picture"/>
                    <pic:cNvPicPr>
                      <a:picLocks noChangeArrowheads="1" noChangeAspect="1"/>
                    </pic:cNvPicPr>
                  </pic:nvPicPr>
                  <pic:blipFill>
                    <a:blip r:embed="rId52"/>
                    <a:stretch>
                      <a:fillRect/>
                    </a:stretch>
                  </pic:blipFill>
                  <pic:spPr bwMode="auto">
                    <a:xfrm>
                      <a:off x="0" y="0"/>
                      <a:ext cx="5052060" cy="3608614"/>
                    </a:xfrm>
                    <a:prstGeom prst="rect">
                      <a:avLst/>
                    </a:prstGeom>
                    <a:noFill/>
                    <a:ln w="9525">
                      <a:noFill/>
                      <a:headEnd/>
                      <a:tailEnd/>
                    </a:ln>
                  </pic:spPr>
                </pic:pic>
              </a:graphicData>
            </a:graphic>
          </wp:inline>
        </w:drawing>
      </w:r>
    </w:p>
    <w:p>
      <w:pPr>
        <w:pStyle w:val="Compact"/>
        <w:numPr>
          <w:ilvl w:val="0"/>
          <w:numId w:val="1008"/>
        </w:numPr>
      </w:pPr>
      <w:r>
        <w:t xml:space="preserve">See</w:t>
      </w:r>
      <w:r>
        <w:t xml:space="preserve"> </w:t>
      </w:r>
      <w:hyperlink r:id="rId55">
        <w:r>
          <w:rPr>
            <w:rStyle w:val="Hyperlink"/>
          </w:rPr>
          <w:t xml:space="preserve">Bay-Delta Live</w:t>
        </w:r>
      </w:hyperlink>
      <w:r>
        <w:t xml:space="preserve"> </w:t>
      </w:r>
      <w:r>
        <w:t xml:space="preserve">for recent Delta-wide turbidity conditions.</w:t>
      </w:r>
      <w:r>
        <w:t xml:space="preserve"> </w:t>
      </w:r>
    </w:p>
    <w:bookmarkEnd w:id="56"/>
    <w:bookmarkStart w:id="57" w:name="larvaljuvenile-delta-smelt"/>
    <w:p>
      <w:pPr>
        <w:pStyle w:val="Heading5"/>
      </w:pPr>
      <w:r>
        <w:t xml:space="preserve">2.2.3.2 Larval/juvenile Delta smelt</w:t>
      </w:r>
    </w:p>
    <w:p>
      <w:pPr>
        <w:pStyle w:val="FirstParagraph"/>
      </w:pPr>
      <w:r>
        <w:rPr>
          <w:b/>
          <w:bCs/>
        </w:rPr>
        <w:t xml:space="preserve">Threshold</w:t>
      </w:r>
      <w:r>
        <w:t xml:space="preserve">: After the onset of spawning, if JPF &lt; 0 cfs AND turbidity is</w:t>
      </w:r>
      <w:r>
        <w:t xml:space="preserve"> </w:t>
      </w:r>
      <m:oMath>
        <m:r>
          <m:rPr>
            <m:sty m:val="p"/>
          </m:rPr>
          <m:t>≥</m:t>
        </m:r>
      </m:oMath>
      <w:r>
        <w:t xml:space="preserve"> </w:t>
      </w:r>
      <w:r>
        <w:t xml:space="preserve">12 FNU in the south Delta AND PTM modeling indicates the action would avoid</w:t>
      </w:r>
      <w:r>
        <w:t xml:space="preserve"> </w:t>
      </w:r>
      <m:oMath>
        <m:r>
          <m:rPr>
            <m:sty m:val="p"/>
          </m:rPr>
          <m:t>≥</m:t>
        </m:r>
      </m:oMath>
      <w:r>
        <w:t xml:space="preserve"> </w:t>
      </w:r>
      <w:r>
        <w:t xml:space="preserve">5% entrainment of Delta smelt population after 30 days</w:t>
      </w:r>
    </w:p>
    <w:p>
      <w:pPr>
        <w:pStyle w:val="Compact"/>
        <w:numPr>
          <w:ilvl w:val="0"/>
          <w:numId w:val="1009"/>
        </w:numPr>
      </w:pPr>
      <w:r>
        <w:rPr>
          <w:b/>
          <w:bCs/>
        </w:rPr>
        <w:t xml:space="preserve">12-station South Delta Turbidity</w:t>
      </w:r>
      <w:r>
        <w:t xml:space="preserve">: The most recent average turbidity was 19.1 FNU as of Dec 30, 2025</w:t>
      </w:r>
    </w:p>
    <w:bookmarkEnd w:id="57"/>
    <w:bookmarkEnd w:id="58"/>
    <w:bookmarkStart w:id="60" w:name="evaluation"/>
    <w:p>
      <w:pPr>
        <w:pStyle w:val="Heading4"/>
      </w:pPr>
      <w:r>
        <w:t xml:space="preserve">2.2.4 Evaluation</w:t>
      </w:r>
    </w:p>
    <w:p>
      <w:pPr>
        <w:pStyle w:val="FirstParagraph"/>
      </w:pPr>
      <w:r>
        <w:rPr>
          <w:b/>
          <w:bCs/>
        </w:rPr>
        <w:t xml:space="preserve">Delta smelt:</w:t>
      </w:r>
    </w:p>
    <w:p>
      <w:pPr>
        <w:numPr>
          <w:ilvl w:val="0"/>
          <w:numId w:val="1010"/>
        </w:numPr>
      </w:pPr>
      <w:r>
        <w:t xml:space="preserve">After the start of entrainment management, is JPF &lt; 0 and is daily average turbidity</w:t>
      </w:r>
      <w:r>
        <w:t xml:space="preserve"> </w:t>
      </w:r>
      <m:oMath>
        <m:r>
          <m:rPr>
            <m:sty m:val="p"/>
          </m:rPr>
          <m:t>≥</m:t>
        </m:r>
      </m:oMath>
      <w:r>
        <w:t xml:space="preserve"> </w:t>
      </w:r>
      <w:r>
        <w:t xml:space="preserve">12 FNU in the OMR corridor (stations OBI, HOL, and OSJ)?</w:t>
      </w:r>
    </w:p>
    <w:p>
      <w:pPr>
        <w:numPr>
          <w:ilvl w:val="0"/>
          <w:numId w:val="1000"/>
        </w:numPr>
      </w:pPr>
      <w:r>
        <w:t xml:space="preserve">No, these conditions will not be met this week.</w:t>
      </w:r>
    </w:p>
    <w:p>
      <w:pPr>
        <w:numPr>
          <w:ilvl w:val="0"/>
          <w:numId w:val="1010"/>
        </w:numPr>
      </w:pPr>
      <w:r>
        <w:t xml:space="preserve">Has the average water temperature at Jersey Point or Rio Vista not exceeded 53.6</w:t>
      </w:r>
      <m:oMath>
        <m:sSup>
          <m:e>
            <m:r>
              <m:t>​</m:t>
            </m:r>
          </m:e>
          <m:sup>
            <m:r>
              <m:rPr>
                <m:sty m:val="p"/>
              </m:rPr>
              <m:t>∘</m:t>
            </m:r>
          </m:sup>
        </m:sSup>
      </m:oMath>
      <w:r>
        <w:t xml:space="preserve">F (12</w:t>
      </w:r>
      <m:oMath>
        <m:sSup>
          <m:e>
            <m:r>
              <m:t>​</m:t>
            </m:r>
          </m:e>
          <m:sup>
            <m:r>
              <m:rPr>
                <m:sty m:val="p"/>
              </m:rPr>
              <m:t>∘</m:t>
            </m:r>
          </m:sup>
        </m:sSup>
      </m:oMath>
      <w:r>
        <w:t xml:space="preserve">C) for 3 consecutive days and/or has this action already been taken during WY 2026?</w:t>
      </w:r>
    </w:p>
    <w:p>
      <w:pPr>
        <w:numPr>
          <w:ilvl w:val="0"/>
          <w:numId w:val="1000"/>
        </w:numPr>
      </w:pPr>
      <w:r>
        <w:t xml:space="preserve">Temperature at Rio Vista or Jersey Point has not exceeded the threshold. The Delta smelt adult</w:t>
      </w:r>
      <w:r>
        <w:t xml:space="preserve"> </w:t>
      </w:r>
      <w:r>
        <w:t xml:space="preserve">entrainment management action has not yet been taken in WY 2026.</w:t>
      </w:r>
    </w:p>
    <w:p>
      <w:pPr>
        <w:numPr>
          <w:ilvl w:val="0"/>
          <w:numId w:val="1010"/>
        </w:numPr>
      </w:pPr>
      <w:r>
        <w:t xml:space="preserve">What is the evidence for the onset of Delta smelt spawning?</w:t>
      </w:r>
    </w:p>
    <w:p>
      <w:pPr>
        <w:numPr>
          <w:ilvl w:val="0"/>
          <w:numId w:val="1000"/>
        </w:numPr>
      </w:pPr>
      <w:r>
        <w:t xml:space="preserve">Upstream migration for Delta smelt occurs between September and December and in response</w:t>
      </w:r>
      <w:r>
        <w:t xml:space="preserve"> </w:t>
      </w:r>
      <w:r>
        <w:t xml:space="preserve">to</w:t>
      </w:r>
      <w:r>
        <w:t xml:space="preserve"> </w:t>
      </w:r>
      <w:r>
        <w:t xml:space="preserve">“first flush”</w:t>
      </w:r>
      <w:r>
        <w:t xml:space="preserve"> </w:t>
      </w:r>
      <w:r>
        <w:t xml:space="preserve">conditions (Sommer et al. 2011, Grimaldo et al. 2009). Migration typically ranges one</w:t>
      </w:r>
      <w:r>
        <w:t xml:space="preserve"> </w:t>
      </w:r>
      <w:r>
        <w:t xml:space="preserve">to four weeks after flow and turbidity increases, based on salvage data (Sommer et al. 2011).</w:t>
      </w:r>
      <w:r>
        <w:t xml:space="preserve"> </w:t>
      </w:r>
      <w:r>
        <w:t xml:space="preserve">Historically, detections of ripe Delta smelt began in January and peaked in February and March and</w:t>
      </w:r>
      <w:r>
        <w:t xml:space="preserve"> </w:t>
      </w:r>
      <w:r>
        <w:t xml:space="preserve">the majority of Delta Smelt spawning occurs within a temperature range of 9-18˚C (Damon et al. 2016).</w:t>
      </w:r>
      <w:r>
        <w:t xml:space="preserve"> </w:t>
      </w:r>
      <w:r>
        <w:t xml:space="preserve">Based on</w:t>
      </w:r>
      <w:r>
        <w:t xml:space="preserve"> </w:t>
      </w:r>
      <w:hyperlink r:id="rId59">
        <w:r>
          <w:rPr>
            <w:rStyle w:val="Hyperlink"/>
          </w:rPr>
          <w:t xml:space="preserve">historical monitoring data</w:t>
        </w:r>
      </w:hyperlink>
      <w:r>
        <w:t xml:space="preserve"> </w:t>
      </w:r>
      <w:r>
        <w:t xml:space="preserve">from the past few years,</w:t>
      </w:r>
      <w:r>
        <w:t xml:space="preserve"> </w:t>
      </w:r>
      <w:r>
        <w:t xml:space="preserve">first detection of larvae in the Central and South Delta has typically occurred by mid to late March.</w:t>
      </w:r>
      <w:r>
        <w:t xml:space="preserve"> </w:t>
      </w:r>
      <w:r>
        <w:t xml:space="preserve">Because first flush conditions were met on December 23, spawning-related behaviors may begin occurring during the</w:t>
      </w:r>
      <w:r>
        <w:t xml:space="preserve"> </w:t>
      </w:r>
      <w:r>
        <w:t xml:space="preserve">current assessment week, consistent with the typical one- to four-week response window following increased</w:t>
      </w:r>
      <w:r>
        <w:t xml:space="preserve"> </w:t>
      </w:r>
      <w:r>
        <w:t xml:space="preserve">flow and turbidity.</w:t>
      </w:r>
    </w:p>
    <w:p>
      <w:pPr>
        <w:numPr>
          <w:ilvl w:val="0"/>
          <w:numId w:val="1010"/>
        </w:numPr>
      </w:pPr>
      <w:r>
        <w:t xml:space="preserve">After the onset of spawning, have the following conditions occurred:</w:t>
      </w:r>
      <w:r>
        <w:t xml:space="preserve"> </w:t>
      </w:r>
      <m:oMath>
        <m:r>
          <m:rPr>
            <m:sty m:val="p"/>
          </m:rPr>
          <m:t>≥</m:t>
        </m:r>
      </m:oMath>
      <w:r>
        <w:t xml:space="preserve"> </w:t>
      </w:r>
      <w:r>
        <w:t xml:space="preserve">5% entrainment of the Delta smelt population at facilities after 30 days?</w:t>
      </w:r>
    </w:p>
    <w:p>
      <w:pPr>
        <w:numPr>
          <w:ilvl w:val="0"/>
          <w:numId w:val="1000"/>
        </w:numPr>
      </w:pPr>
      <w:r>
        <w:t xml:space="preserve">Although spawning may begin during the current assessment period, JPF is above 0 cfs;</w:t>
      </w:r>
      <w:r>
        <w:t xml:space="preserve"> </w:t>
      </w:r>
      <w:r>
        <w:t xml:space="preserve">therefore, the conditions required to evaluate larval and juvenile Delta smelt entrainment management are not met.</w:t>
      </w:r>
    </w:p>
    <w:bookmarkEnd w:id="60"/>
    <w:bookmarkEnd w:id="61"/>
    <w:bookmarkStart w:id="78" w:name="longfin-smelt"/>
    <w:p>
      <w:pPr>
        <w:pStyle w:val="Heading3"/>
      </w:pPr>
      <w:r>
        <w:t xml:space="preserve">2.3 Longfin smelt</w:t>
      </w:r>
    </w:p>
    <w:bookmarkStart w:id="72" w:name="biological-1"/>
    <w:p>
      <w:pPr>
        <w:pStyle w:val="Heading4"/>
      </w:pPr>
      <w:r>
        <w:t xml:space="preserve">2.3.1 Biological</w:t>
      </w:r>
    </w:p>
    <w:p>
      <w:pPr>
        <w:numPr>
          <w:ilvl w:val="0"/>
          <w:numId w:val="1011"/>
        </w:numPr>
      </w:pPr>
      <w:r>
        <w:rPr>
          <w:b/>
          <w:bCs/>
        </w:rPr>
        <w:t xml:space="preserve">Longfin smelt life stages:</w:t>
      </w:r>
      <w:r>
        <w:t xml:space="preserve"> </w:t>
      </w:r>
      <w:r>
        <w:t xml:space="preserve">Juvenile, Adult</w:t>
      </w:r>
    </w:p>
    <w:p>
      <w:pPr>
        <w:numPr>
          <w:ilvl w:val="0"/>
          <w:numId w:val="1011"/>
        </w:numPr>
      </w:pPr>
      <w:r>
        <w:rPr>
          <w:b/>
          <w:bCs/>
        </w:rPr>
        <w:t xml:space="preserve">Longfin smelt count:</w:t>
      </w:r>
      <w:r>
        <w:t xml:space="preserve"> </w:t>
      </w:r>
      <w:r>
        <w:t xml:space="preserve">296 adult, 446 juvenile, and 10 larval longfin smelt have been detected this water year. See</w:t>
      </w:r>
      <w:r>
        <w:t xml:space="preserve"> </w:t>
      </w:r>
      <w:hyperlink w:anchor="tbl-lfs-recent-catch">
        <w:r>
          <w:rPr>
            <w:rStyle w:val="Hyperlink"/>
          </w:rPr>
          <w:t xml:space="preserve">Table 4</w:t>
        </w:r>
      </w:hyperlink>
      <w:r>
        <w:t xml:space="preserve"> </w:t>
      </w:r>
      <w:r>
        <w:t xml:space="preserve">for recent detections,</w:t>
      </w:r>
      <w:r>
        <w:t xml:space="preserve"> </w:t>
      </w:r>
      <w:hyperlink w:anchor="fig-lfs-map">
        <w:r>
          <w:rPr>
            <w:rStyle w:val="Hyperlink"/>
          </w:rPr>
          <w:t xml:space="preserve">Figure 5</w:t>
        </w:r>
      </w:hyperlink>
      <w:r>
        <w:t xml:space="preserve"> </w:t>
      </w:r>
      <w:r>
        <w:t xml:space="preserve">for spatial distribution, and</w:t>
      </w:r>
      <w:r>
        <w:t xml:space="preserve"> </w:t>
      </w:r>
      <w:hyperlink w:anchor="fig-lfs-catch">
        <w:r>
          <w:rPr>
            <w:rStyle w:val="Hyperlink"/>
          </w:rPr>
          <w:t xml:space="preserve">Figure 6</w:t>
        </w:r>
      </w:hyperlink>
      <w:r>
        <w:t xml:space="preserve"> </w:t>
      </w:r>
      <w:r>
        <w:t xml:space="preserve">for temporal distribution.</w:t>
      </w:r>
    </w:p>
    <w:p>
      <w:pPr>
        <w:numPr>
          <w:ilvl w:val="0"/>
          <w:numId w:val="1011"/>
        </w:numPr>
      </w:pPr>
      <w:r>
        <w:rPr>
          <w:b/>
          <w:bCs/>
        </w:rPr>
        <w:t xml:space="preserve">Longfin smelt salvage:</w:t>
      </w:r>
      <w:r>
        <w:t xml:space="preserve"> </w:t>
      </w:r>
      <w:r>
        <w:t xml:space="preserve">0 longfin smelt have been salvaged, and the cumulative seasonal salvage is 0.</w:t>
      </w:r>
      <w:r>
        <w:t xml:space="preserve"> </w:t>
      </w:r>
    </w:p>
    <w:tbl>
      <w:tblPr>
        <w:tblStyle w:val="Table"/>
        <w:tblW w:type="pct" w:w="5000"/>
        <w:tblLayout w:type="fixed"/>
        <w:tblLook w:firstRow="0" w:lastRow="0" w:firstColumn="0" w:lastColumn="0" w:noHBand="0" w:noVBand="0" w:val="0000"/>
      </w:tblPr>
      <w:tblGrid>
        <w:gridCol w:w="7920"/>
      </w:tblGrid>
      <w:tr>
        <w:tc>
          <w:tcPr/>
          <w:bookmarkStart w:id="62" w:name="tbl-lfs-recent-catch"/>
          <w:p>
            <w:pPr>
              <w:jc w:val="center"/>
            </w:pPr>
            <w:pPr>
              <w:jc w:val="left"/>
              <w:spacing w:before="200"/>
              <w:pStyle w:val="ImageCaption"/>
            </w:pPr>
            <w:r>
              <w:t xml:space="preserve">Table 4: Longfin smelt detections in the last 2 weeks. Fork Length &gt; 84mm = Adult, Fork Length 20-84mm = Juvenile, Fork Length &lt; 20mm = Larva.</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Survey</w:t>
                  </w:r>
                </w:p>
              </w:tc>
              <w:tc>
                <w:tcPr/>
                <w:p>
                  <w:pPr>
                    <w:pStyle w:val="Compact"/>
                    <w:jc w:val="left"/>
                    <w:jc w:val="center"/>
                  </w:pPr>
                  <w:r>
                    <w:t xml:space="preserve">Date</w:t>
                  </w:r>
                </w:p>
              </w:tc>
              <w:tc>
                <w:tcPr/>
                <w:p>
                  <w:pPr>
                    <w:pStyle w:val="Compact"/>
                    <w:jc w:val="left"/>
                    <w:jc w:val="center"/>
                  </w:pPr>
                  <w:r>
                    <w:t xml:space="preserve">Region</w:t>
                  </w:r>
                </w:p>
              </w:tc>
              <w:tc>
                <w:tcPr/>
                <w:p>
                  <w:pPr>
                    <w:pStyle w:val="Compact"/>
                    <w:jc w:val="left"/>
                    <w:jc w:val="center"/>
                  </w:pPr>
                  <w:r>
                    <w:t xml:space="preserve">Stratum</w:t>
                  </w:r>
                </w:p>
              </w:tc>
              <w:tc>
                <w:tcPr/>
                <w:p>
                  <w:pPr>
                    <w:pStyle w:val="Compact"/>
                    <w:jc w:val="left"/>
                    <w:jc w:val="center"/>
                  </w:pPr>
                  <w:r>
                    <w:t xml:space="preserve">Life Stage</w:t>
                  </w:r>
                </w:p>
              </w:tc>
              <w:tc>
                <w:tcPr/>
                <w:p>
                  <w:pPr>
                    <w:pStyle w:val="Compact"/>
                    <w:jc w:val="right"/>
                    <w:jc w:val="center"/>
                  </w:pPr>
                  <w:r>
                    <w:t xml:space="preserve">Catch</w:t>
                  </w:r>
                </w:p>
              </w:tc>
            </w:tr>
            <w:tr>
              <w:tc>
                <w:tcPr/>
                <w:p>
                  <w:pPr>
                    <w:pStyle w:val="Compact"/>
                    <w:jc w:val="left"/>
                    <w:jc w:val="center"/>
                  </w:pPr>
                  <w:r>
                    <w:t xml:space="preserve">DJFMP</w:t>
                  </w:r>
                </w:p>
              </w:tc>
              <w:tc>
                <w:tcPr/>
                <w:p>
                  <w:pPr>
                    <w:pStyle w:val="Compact"/>
                    <w:jc w:val="left"/>
                    <w:jc w:val="center"/>
                  </w:pPr>
                  <w:r>
                    <w:t xml:space="preserve">2025-12-31</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44</w:t>
                  </w:r>
                </w:p>
              </w:tc>
            </w:tr>
            <w:tr>
              <w:tc>
                <w:tcPr/>
                <w:p>
                  <w:pPr>
                    <w:pStyle w:val="Compact"/>
                    <w:jc w:val="left"/>
                    <w:jc w:val="center"/>
                  </w:pPr>
                  <w:r>
                    <w:t xml:space="preserve">DJFMP</w:t>
                  </w:r>
                </w:p>
              </w:tc>
              <w:tc>
                <w:tcPr/>
                <w:p>
                  <w:pPr>
                    <w:pStyle w:val="Compact"/>
                    <w:jc w:val="left"/>
                    <w:jc w:val="center"/>
                  </w:pPr>
                  <w:r>
                    <w:t xml:space="preserve">2025-12-31</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Juvenile</w:t>
                  </w:r>
                </w:p>
              </w:tc>
              <w:tc>
                <w:tcPr/>
                <w:p>
                  <w:pPr>
                    <w:pStyle w:val="Compact"/>
                    <w:jc w:val="right"/>
                    <w:jc w:val="center"/>
                  </w:pPr>
                  <w:r>
                    <w:t xml:space="preserve">2</w:t>
                  </w:r>
                </w:p>
              </w:tc>
            </w:tr>
            <w:tr>
              <w:tc>
                <w:tcPr/>
                <w:p>
                  <w:pPr>
                    <w:pStyle w:val="Compact"/>
                    <w:jc w:val="left"/>
                    <w:jc w:val="center"/>
                  </w:pPr>
                  <w:r>
                    <w:t xml:space="preserve">DJFMP</w:t>
                  </w:r>
                </w:p>
              </w:tc>
              <w:tc>
                <w:tcPr/>
                <w:p>
                  <w:pPr>
                    <w:pStyle w:val="Compact"/>
                    <w:jc w:val="left"/>
                    <w:jc w:val="center"/>
                  </w:pPr>
                  <w:r>
                    <w:t xml:space="preserve">2026-01-05</w:t>
                  </w:r>
                </w:p>
              </w:tc>
              <w:tc>
                <w:tcPr/>
                <w:p>
                  <w:pPr>
                    <w:pStyle w:val="Compact"/>
                    <w:jc w:val="left"/>
                    <w:jc w:val="center"/>
                  </w:pPr>
                  <w:r>
                    <w:t xml:space="preserve">Bay</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2026-01-05</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2026-01-06</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2026-01-08</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EDSM</w:t>
                  </w:r>
                </w:p>
              </w:tc>
              <w:tc>
                <w:tcPr/>
                <w:p>
                  <w:pPr>
                    <w:pStyle w:val="Compact"/>
                    <w:jc w:val="left"/>
                    <w:jc w:val="center"/>
                  </w:pPr>
                  <w:r>
                    <w:t xml:space="preserve">2025-12-31</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2025-12-31</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2026-01-05</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2026-01-05</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2026-01-06</w:t>
                  </w:r>
                </w:p>
              </w:tc>
              <w:tc>
                <w:tcPr/>
                <w:p>
                  <w:pPr>
                    <w:pStyle w:val="Compact"/>
                    <w:jc w:val="left"/>
                    <w:jc w:val="center"/>
                  </w:pPr>
                  <w:r>
                    <w:t xml:space="preserve">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2026-01-12</w:t>
                  </w:r>
                </w:p>
              </w:tc>
              <w:tc>
                <w:tcPr/>
                <w:p>
                  <w:pPr>
                    <w:pStyle w:val="Compact"/>
                    <w:jc w:val="left"/>
                    <w:jc w:val="center"/>
                  </w:pPr>
                  <w:r>
                    <w:t xml:space="preserve">North</w:t>
                  </w:r>
                </w:p>
              </w:tc>
              <w:tc>
                <w:tcPr/>
                <w:p>
                  <w:pPr>
                    <w:pStyle w:val="Compact"/>
                    <w:jc w:val="left"/>
                    <w:jc w:val="center"/>
                  </w:pPr>
                  <w:r>
                    <w:t xml:space="preserve">Lower Sacramento</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2026-01-12</w:t>
                  </w:r>
                </w:p>
              </w:tc>
              <w:tc>
                <w:tcPr/>
                <w:p>
                  <w:pPr>
                    <w:pStyle w:val="Compact"/>
                    <w:jc w:val="left"/>
                    <w:jc w:val="center"/>
                  </w:pPr>
                  <w:r>
                    <w:t xml:space="preserve">West</w:t>
                  </w:r>
                </w:p>
              </w:tc>
              <w:tc>
                <w:tcPr/>
                <w:p>
                  <w:pPr>
                    <w:pStyle w:val="Compact"/>
                    <w:jc w:val="left"/>
                    <w:jc w:val="center"/>
                  </w:pPr>
                  <w:r>
                    <w:t xml:space="preserve">Lower Sacramento</w:t>
                  </w:r>
                </w:p>
              </w:tc>
              <w:tc>
                <w:tcPr/>
                <w:p>
                  <w:pPr>
                    <w:pStyle w:val="Compact"/>
                    <w:jc w:val="left"/>
                    <w:jc w:val="center"/>
                  </w:pPr>
                  <w:r>
                    <w:t xml:space="preserve">Adult</w:t>
                  </w:r>
                </w:p>
              </w:tc>
              <w:tc>
                <w:tcPr/>
                <w:p>
                  <w:pPr>
                    <w:pStyle w:val="Compact"/>
                    <w:jc w:val="right"/>
                    <w:jc w:val="center"/>
                  </w:pPr>
                  <w:r>
                    <w:t xml:space="preserve">19</w:t>
                  </w:r>
                </w:p>
              </w:tc>
            </w:tr>
            <w:tr>
              <w:tc>
                <w:tcPr/>
                <w:p>
                  <w:pPr>
                    <w:pStyle w:val="Compact"/>
                    <w:jc w:val="left"/>
                    <w:jc w:val="center"/>
                  </w:pPr>
                  <w:r>
                    <w:t xml:space="preserve">EDSM</w:t>
                  </w:r>
                </w:p>
              </w:tc>
              <w:tc>
                <w:tcPr/>
                <w:p>
                  <w:pPr>
                    <w:pStyle w:val="Compact"/>
                    <w:jc w:val="left"/>
                    <w:jc w:val="center"/>
                  </w:pPr>
                  <w:r>
                    <w:t xml:space="preserve">2026-01-12</w:t>
                  </w:r>
                </w:p>
              </w:tc>
              <w:tc>
                <w:tcPr/>
                <w:p>
                  <w:pPr>
                    <w:pStyle w:val="Compact"/>
                    <w:jc w:val="left"/>
                    <w:jc w:val="center"/>
                  </w:pPr>
                  <w:r>
                    <w:t xml:space="preserve">West</w:t>
                  </w:r>
                </w:p>
              </w:tc>
              <w:tc>
                <w:tcPr/>
                <w:p>
                  <w:pPr>
                    <w:pStyle w:val="Compact"/>
                    <w:jc w:val="left"/>
                    <w:jc w:val="center"/>
                  </w:pPr>
                  <w:r>
                    <w:t xml:space="preserve">Lower Sacramento</w:t>
                  </w:r>
                </w:p>
              </w:tc>
              <w:tc>
                <w:tcPr/>
                <w:p>
                  <w:pPr>
                    <w:pStyle w:val="Compact"/>
                    <w:jc w:val="left"/>
                    <w:jc w:val="center"/>
                  </w:pPr>
                  <w:r>
                    <w:t xml:space="preserve">Juvenile</w:t>
                  </w:r>
                </w:p>
              </w:tc>
              <w:tc>
                <w:tcPr/>
                <w:p>
                  <w:pPr>
                    <w:pStyle w:val="Compact"/>
                    <w:jc w:val="right"/>
                    <w:jc w:val="center"/>
                  </w:pPr>
                  <w:r>
                    <w:t xml:space="preserve">5</w:t>
                  </w:r>
                </w:p>
              </w:tc>
            </w:tr>
          </w:tbl>
          <w:bookmarkEnd w:id="62"/>
          <w:p/>
        </w:tc>
      </w:tr>
    </w:tbl>
    <w:tbl>
      <w:tblPr>
        <w:tblStyle w:val="Table"/>
        <w:tblW w:type="pct" w:w="5000"/>
        <w:tblLayout w:type="fixed"/>
        <w:tblLook w:firstRow="0" w:lastRow="0" w:firstColumn="0" w:lastColumn="0" w:noHBand="0" w:noVBand="0" w:val="0000"/>
      </w:tblPr>
      <w:tblGrid>
        <w:gridCol w:w="7920"/>
      </w:tblGrid>
      <w:tr>
        <w:tc>
          <w:tcPr/>
          <w:bookmarkStart w:id="66" w:name="fig-lfs-map"/>
          <w:p>
            <w:pPr>
              <w:pStyle w:val="Compact"/>
              <w:jc w:val="center"/>
            </w:pPr>
            <w:r>
              <w:drawing>
                <wp:inline>
                  <wp:extent cx="5943600" cy="5200650"/>
                  <wp:effectExtent b="0" l="0" r="0" t="0"/>
                  <wp:docPr descr="" title="" id="64" name="Picture"/>
                  <a:graphic>
                    <a:graphicData uri="http://schemas.openxmlformats.org/drawingml/2006/picture">
                      <pic:pic>
                        <pic:nvPicPr>
                          <pic:cNvPr descr="combined_delta_smelt_files/figure-docx/fig-lfs-map-1.png" id="65" name="Picture"/>
                          <pic:cNvPicPr>
                            <a:picLocks noChangeArrowheads="1" noChangeAspect="1"/>
                          </pic:cNvPicPr>
                        </pic:nvPicPr>
                        <pic:blipFill>
                          <a:blip r:embed="rId63"/>
                          <a:stretch>
                            <a:fillRect/>
                          </a:stretch>
                        </pic:blipFill>
                        <pic:spPr bwMode="auto">
                          <a:xfrm>
                            <a:off x="0" y="0"/>
                            <a:ext cx="5943600" cy="5200650"/>
                          </a:xfrm>
                          <a:prstGeom prst="rect">
                            <a:avLst/>
                          </a:prstGeom>
                          <a:noFill/>
                          <a:ln w="9525">
                            <a:noFill/>
                            <a:headEnd/>
                            <a:tailEnd/>
                          </a:ln>
                        </pic:spPr>
                      </pic:pic>
                    </a:graphicData>
                  </a:graphic>
                </wp:inline>
              </w:drawing>
            </w:r>
          </w:p>
          <w:p>
            <w:pPr>
              <w:jc w:val="center"/>
            </w:pPr>
            <w:pPr>
              <w:jc w:val="left"/>
              <w:spacing w:before="200"/>
              <w:pStyle w:val="ImageCaption"/>
            </w:pPr>
            <w:r>
              <w:t xml:space="preserve">Figure 5: Longfin Smelt Distribution for WY 2026</w:t>
            </w:r>
          </w:p>
          <w:bookmarkEnd w:id="66"/>
        </w:tc>
      </w:tr>
    </w:tbl>
    <w:tbl>
      <w:tblPr>
        <w:tblStyle w:val="Table"/>
        <w:tblW w:type="pct" w:w="5000"/>
        <w:tblLayout w:type="fixed"/>
        <w:tblLook w:firstRow="0" w:lastRow="0" w:firstColumn="0" w:lastColumn="0" w:noHBand="0" w:noVBand="0" w:val="0000"/>
      </w:tblPr>
      <w:tblGrid>
        <w:gridCol w:w="7920"/>
      </w:tblGrid>
      <w:tr>
        <w:tc>
          <w:tcPr/>
          <w:bookmarkStart w:id="67" w:name="tbl-lfs-catch-all"/>
          <w:p>
            <w:pPr>
              <w:jc w:val="center"/>
            </w:pPr>
            <w:pPr>
              <w:jc w:val="left"/>
              <w:spacing w:before="200"/>
              <w:pStyle w:val="ImageCaption"/>
            </w:pPr>
            <w:r>
              <w:t xml:space="preserve">Table 5: Longfin smelt water year totals by life stage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Survey</w:t>
                  </w:r>
                </w:p>
              </w:tc>
              <w:tc>
                <w:tcPr/>
                <w:p>
                  <w:pPr>
                    <w:pStyle w:val="Compact"/>
                    <w:jc w:val="left"/>
                    <w:jc w:val="center"/>
                  </w:pPr>
                  <w:r>
                    <w:t xml:space="preserve">Region</w:t>
                  </w:r>
                </w:p>
              </w:tc>
              <w:tc>
                <w:tcPr/>
                <w:p>
                  <w:pPr>
                    <w:pStyle w:val="Compact"/>
                    <w:jc w:val="left"/>
                    <w:jc w:val="center"/>
                  </w:pPr>
                  <w:r>
                    <w:t xml:space="preserve">Life Stage</w:t>
                  </w:r>
                </w:p>
              </w:tc>
              <w:tc>
                <w:tcPr/>
                <w:p>
                  <w:pPr>
                    <w:pStyle w:val="Compact"/>
                    <w:jc w:val="right"/>
                    <w:jc w:val="center"/>
                  </w:pPr>
                  <w:r>
                    <w:t xml:space="preserve">Total</w:t>
                  </w:r>
                </w:p>
              </w:tc>
            </w:tr>
            <w:tr>
              <w:tc>
                <w:tcPr/>
                <w:p>
                  <w:pPr>
                    <w:pStyle w:val="Compact"/>
                    <w:jc w:val="left"/>
                    <w:jc w:val="center"/>
                  </w:pPr>
                  <w:r>
                    <w:t xml:space="preserve">DJFMP</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Adult</w:t>
                  </w:r>
                </w:p>
              </w:tc>
              <w:tc>
                <w:tcPr/>
                <w:p>
                  <w:pPr>
                    <w:pStyle w:val="Compact"/>
                    <w:jc w:val="right"/>
                    <w:jc w:val="center"/>
                  </w:pPr>
                  <w:r>
                    <w:t xml:space="preserve">240</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Juvenile</w:t>
                  </w:r>
                </w:p>
              </w:tc>
              <w:tc>
                <w:tcPr/>
                <w:p>
                  <w:pPr>
                    <w:pStyle w:val="Compact"/>
                    <w:jc w:val="right"/>
                    <w:jc w:val="center"/>
                  </w:pPr>
                  <w:r>
                    <w:t xml:space="preserve">14</w:t>
                  </w:r>
                </w:p>
              </w:tc>
            </w:tr>
            <w:tr>
              <w:tc>
                <w:tcPr/>
                <w:p>
                  <w:pPr>
                    <w:pStyle w:val="Compact"/>
                    <w:jc w:val="left"/>
                    <w:jc w:val="center"/>
                  </w:pPr>
                  <w:r>
                    <w:t xml:space="preserve">EDSM</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7</w:t>
                  </w:r>
                </w:p>
              </w:tc>
            </w:tr>
            <w:tr>
              <w:tc>
                <w:tcPr/>
                <w:p>
                  <w:pPr>
                    <w:pStyle w:val="Compact"/>
                    <w:jc w:val="left"/>
                    <w:jc w:val="center"/>
                  </w:pPr>
                  <w:r>
                    <w:t xml:space="preserve">EDSM</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13</w:t>
                  </w:r>
                </w:p>
              </w:tc>
            </w:tr>
            <w:tr>
              <w:tc>
                <w:tcPr/>
                <w:p>
                  <w:pPr>
                    <w:pStyle w:val="Compact"/>
                    <w:jc w:val="left"/>
                    <w:jc w:val="center"/>
                  </w:pPr>
                  <w:r>
                    <w:t xml:space="preserve">EDSM</w:t>
                  </w:r>
                </w:p>
              </w:tc>
              <w:tc>
                <w:tcPr/>
                <w:p>
                  <w:pPr>
                    <w:pStyle w:val="Compact"/>
                    <w:jc w:val="left"/>
                    <w:jc w:val="center"/>
                  </w:pPr>
                  <w:r>
                    <w:t xml:space="preserve">North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41</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80</w:t>
                  </w:r>
                </w:p>
              </w:tc>
            </w:tr>
            <w:tr>
              <w:tc>
                <w:tcPr/>
                <w:p>
                  <w:pPr>
                    <w:pStyle w:val="Compact"/>
                    <w:jc w:val="left"/>
                    <w:jc w:val="center"/>
                  </w:pPr>
                  <w:r>
                    <w:t xml:space="preserve">baystudy</w:t>
                  </w:r>
                </w:p>
              </w:tc>
              <w:tc>
                <w:tcPr/>
                <w:p>
                  <w:pPr>
                    <w:pStyle w:val="Compact"/>
                    <w:jc w:val="left"/>
                    <w:jc w:val="center"/>
                  </w:pPr>
                  <w:r>
                    <w:t xml:space="preserve">Bay</w:t>
                  </w:r>
                </w:p>
              </w:tc>
              <w:tc>
                <w:tcPr/>
                <w:p>
                  <w:pPr>
                    <w:pStyle w:val="Compact"/>
                    <w:jc w:val="left"/>
                    <w:jc w:val="center"/>
                  </w:pPr>
                  <w:r>
                    <w:t xml:space="preserve">Adult</w:t>
                  </w:r>
                </w:p>
              </w:tc>
              <w:tc>
                <w:tcPr/>
                <w:p>
                  <w:pPr>
                    <w:pStyle w:val="Compact"/>
                    <w:jc w:val="right"/>
                    <w:jc w:val="center"/>
                  </w:pPr>
                  <w:r>
                    <w:t xml:space="preserve">6</w:t>
                  </w:r>
                </w:p>
              </w:tc>
            </w:tr>
            <w:tr>
              <w:tc>
                <w:tcPr/>
                <w:p>
                  <w:pPr>
                    <w:pStyle w:val="Compact"/>
                    <w:jc w:val="left"/>
                    <w:jc w:val="center"/>
                  </w:pPr>
                  <w:r>
                    <w:t xml:space="preserve">baystudy</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320</w:t>
                  </w:r>
                </w:p>
              </w:tc>
            </w:tr>
            <w:tr>
              <w:tc>
                <w:tcPr/>
                <w:p>
                  <w:pPr>
                    <w:pStyle w:val="Compact"/>
                    <w:jc w:val="left"/>
                    <w:jc w:val="center"/>
                  </w:pPr>
                  <w:r>
                    <w:t xml:space="preserve">baystudy</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baystudy</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11</w:t>
                  </w:r>
                </w:p>
              </w:tc>
            </w:tr>
            <w:tr>
              <w:tc>
                <w:tcPr/>
                <w:p>
                  <w:pPr>
                    <w:pStyle w:val="Compact"/>
                    <w:jc w:val="left"/>
                    <w:jc w:val="center"/>
                  </w:pPr>
                  <w:r>
                    <w:t xml:space="preserve">baystudy</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6</w:t>
                  </w:r>
                </w:p>
              </w:tc>
            </w:tr>
            <w:tr>
              <w:tc>
                <w:tcPr/>
                <w:p>
                  <w:pPr>
                    <w:pStyle w:val="Compact"/>
                    <w:jc w:val="left"/>
                    <w:jc w:val="center"/>
                  </w:pPr>
                  <w:r>
                    <w:t xml:space="preserve">sls</w:t>
                  </w:r>
                </w:p>
              </w:tc>
              <w:tc>
                <w:tcPr/>
                <w:p>
                  <w:pPr>
                    <w:pStyle w:val="Compact"/>
                    <w:jc w:val="left"/>
                    <w:jc w:val="center"/>
                  </w:pPr>
                  <w:r>
                    <w:t xml:space="preserve">Far West</w:t>
                  </w:r>
                </w:p>
              </w:tc>
              <w:tc>
                <w:tcPr/>
                <w:p>
                  <w:pPr>
                    <w:pStyle w:val="Compact"/>
                    <w:jc w:val="left"/>
                    <w:jc w:val="center"/>
                  </w:pPr>
                  <w:r>
                    <w:t xml:space="preserve">Larva</w:t>
                  </w:r>
                </w:p>
              </w:tc>
              <w:tc>
                <w:tcPr/>
                <w:p>
                  <w:pPr>
                    <w:pStyle w:val="Compact"/>
                    <w:jc w:val="right"/>
                    <w:jc w:val="center"/>
                  </w:pPr>
                  <w:r>
                    <w:t xml:space="preserve">3</w:t>
                  </w:r>
                </w:p>
              </w:tc>
            </w:tr>
            <w:tr>
              <w:tc>
                <w:tcPr/>
                <w:p>
                  <w:pPr>
                    <w:pStyle w:val="Compact"/>
                    <w:jc w:val="left"/>
                    <w:jc w:val="center"/>
                  </w:pPr>
                  <w:r>
                    <w:t xml:space="preserve">sls</w:t>
                  </w:r>
                </w:p>
              </w:tc>
              <w:tc>
                <w:tcPr/>
                <w:p>
                  <w:pPr>
                    <w:pStyle w:val="Compact"/>
                    <w:jc w:val="left"/>
                    <w:jc w:val="center"/>
                  </w:pPr>
                  <w:r>
                    <w:t xml:space="preserve">North</w:t>
                  </w:r>
                </w:p>
              </w:tc>
              <w:tc>
                <w:tcPr/>
                <w:p>
                  <w:pPr>
                    <w:pStyle w:val="Compact"/>
                    <w:jc w:val="left"/>
                    <w:jc w:val="center"/>
                  </w:pPr>
                  <w:r>
                    <w:t xml:space="preserve">Larva</w:t>
                  </w:r>
                </w:p>
              </w:tc>
              <w:tc>
                <w:tcPr/>
                <w:p>
                  <w:pPr>
                    <w:pStyle w:val="Compact"/>
                    <w:jc w:val="right"/>
                    <w:jc w:val="center"/>
                  </w:pPr>
                  <w:r>
                    <w:t xml:space="preserve">1</w:t>
                  </w:r>
                </w:p>
              </w:tc>
            </w:tr>
            <w:tr>
              <w:tc>
                <w:tcPr/>
                <w:p>
                  <w:pPr>
                    <w:pStyle w:val="Compact"/>
                    <w:jc w:val="left"/>
                    <w:jc w:val="center"/>
                  </w:pPr>
                  <w:r>
                    <w:t xml:space="preserve">sls</w:t>
                  </w:r>
                </w:p>
              </w:tc>
              <w:tc>
                <w:tcPr/>
                <w:p>
                  <w:pPr>
                    <w:pStyle w:val="Compact"/>
                    <w:jc w:val="left"/>
                    <w:jc w:val="center"/>
                  </w:pPr>
                  <w:r>
                    <w:t xml:space="preserve">West</w:t>
                  </w:r>
                </w:p>
              </w:tc>
              <w:tc>
                <w:tcPr/>
                <w:p>
                  <w:pPr>
                    <w:pStyle w:val="Compact"/>
                    <w:jc w:val="left"/>
                    <w:jc w:val="center"/>
                  </w:pPr>
                  <w:r>
                    <w:t xml:space="preserve">Larva</w:t>
                  </w:r>
                </w:p>
              </w:tc>
              <w:tc>
                <w:tcPr/>
                <w:p>
                  <w:pPr>
                    <w:pStyle w:val="Compact"/>
                    <w:jc w:val="right"/>
                    <w:jc w:val="center"/>
                  </w:pPr>
                  <w:r>
                    <w:t xml:space="preserve">6</w:t>
                  </w:r>
                </w:p>
              </w:tc>
            </w:tr>
          </w:tbl>
          <w:bookmarkEnd w:id="67"/>
          <w:p/>
        </w:tc>
      </w:tr>
    </w:tbl>
    <w:tbl>
      <w:tblPr>
        <w:tblStyle w:val="Table"/>
        <w:tblW w:type="pct" w:w="5000"/>
        <w:tblLayout w:type="fixed"/>
        <w:tblLook w:firstRow="0" w:lastRow="0" w:firstColumn="0" w:lastColumn="0" w:noHBand="0" w:noVBand="0" w:val="0000"/>
      </w:tblPr>
      <w:tblGrid>
        <w:gridCol w:w="7920"/>
      </w:tblGrid>
      <w:tr>
        <w:tc>
          <w:tcPr/>
          <w:bookmarkStart w:id="71" w:name="fig-lfs-catch"/>
          <w:p>
            <w:pPr>
              <w:pStyle w:val="Compact"/>
              <w:jc w:val="center"/>
            </w:pPr>
            <w:r>
              <w:drawing>
                <wp:inline>
                  <wp:extent cx="4578104" cy="3662483"/>
                  <wp:effectExtent b="0" l="0" r="0" t="0"/>
                  <wp:docPr descr="" title="" id="69" name="Picture"/>
                  <a:graphic>
                    <a:graphicData uri="http://schemas.openxmlformats.org/drawingml/2006/picture">
                      <pic:pic>
                        <pic:nvPicPr>
                          <pic:cNvPr descr="combined_delta_smelt_files/figure-docx/fig-lfs-catch-1.png" id="70" name="Picture"/>
                          <pic:cNvPicPr>
                            <a:picLocks noChangeArrowheads="1" noChangeAspect="1"/>
                          </pic:cNvPicPr>
                        </pic:nvPicPr>
                        <pic:blipFill>
                          <a:blip r:embed="rId68"/>
                          <a:stretch>
                            <a:fillRect/>
                          </a:stretch>
                        </pic:blipFill>
                        <pic:spPr bwMode="auto">
                          <a:xfrm>
                            <a:off x="0" y="0"/>
                            <a:ext cx="4578104" cy="3662483"/>
                          </a:xfrm>
                          <a:prstGeom prst="rect">
                            <a:avLst/>
                          </a:prstGeom>
                          <a:noFill/>
                          <a:ln w="9525">
                            <a:noFill/>
                            <a:headEnd/>
                            <a:tailEnd/>
                          </a:ln>
                        </pic:spPr>
                      </pic:pic>
                    </a:graphicData>
                  </a:graphic>
                </wp:inline>
              </w:drawing>
            </w:r>
          </w:p>
          <w:p>
            <w:pPr>
              <w:jc w:val="center"/>
            </w:pPr>
            <w:pPr>
              <w:jc w:val="left"/>
              <w:spacing w:before="200"/>
              <w:pStyle w:val="ImageCaption"/>
            </w:pPr>
            <w:r>
              <w:t xml:space="preserve">Figure 6: Time series of longfin smelt catch, WY 2026</w:t>
            </w:r>
          </w:p>
          <w:bookmarkEnd w:id="71"/>
        </w:tc>
      </w:tr>
    </w:tbl>
    <w:bookmarkEnd w:id="72"/>
    <w:bookmarkStart w:id="76" w:name="real-time-assessment-thresholds-1"/>
    <w:p>
      <w:pPr>
        <w:pStyle w:val="Heading4"/>
      </w:pPr>
      <w:r>
        <w:t xml:space="preserve">2.3.2 Real-time Assessment Thresholds</w:t>
      </w:r>
    </w:p>
    <w:bookmarkStart w:id="73" w:name="X20cb4fe57c6f57bc33c1a6af910e71e88796402"/>
    <w:p>
      <w:pPr>
        <w:pStyle w:val="Heading5"/>
      </w:pPr>
      <w:r>
        <w:t xml:space="preserve">2.3.2.1 Start of Entrainment Management (Adult Longfin Smelt)</w:t>
      </w:r>
    </w:p>
    <w:p>
      <w:pPr>
        <w:pStyle w:val="Compact"/>
        <w:numPr>
          <w:ilvl w:val="0"/>
          <w:numId w:val="1012"/>
        </w:numPr>
      </w:pPr>
      <w:r>
        <w:t xml:space="preserve">Not relevant</w:t>
      </w:r>
    </w:p>
    <w:bookmarkEnd w:id="73"/>
    <w:bookmarkStart w:id="74" w:name="adult-longfin-smelt"/>
    <w:p>
      <w:pPr>
        <w:pStyle w:val="Heading5"/>
      </w:pPr>
      <w:r>
        <w:t xml:space="preserve">2.3.2.2 Adult longfin smelt</w:t>
      </w:r>
    </w:p>
    <w:p>
      <w:pPr>
        <w:pStyle w:val="Compact"/>
        <w:numPr>
          <w:ilvl w:val="0"/>
          <w:numId w:val="1013"/>
        </w:numPr>
      </w:pPr>
      <w:r>
        <w:rPr>
          <w:b/>
          <w:bCs/>
        </w:rPr>
        <w:t xml:space="preserve">Threshold:</w:t>
      </w:r>
      <w:r>
        <w:t xml:space="preserve"> </w:t>
      </w:r>
      <w:r>
        <w:t xml:space="preserve">JPF &lt; 0 cfs, annual loss is on a trajectory to exceed 5% of the adult population abundance, and reduced exports will reduce entrainment in the south Delta</w:t>
      </w:r>
    </w:p>
    <w:p>
      <w:pPr>
        <w:pStyle w:val="Compact"/>
        <w:numPr>
          <w:ilvl w:val="1"/>
          <w:numId w:val="1014"/>
        </w:numPr>
      </w:pPr>
      <w:r>
        <w:t xml:space="preserve">Daily average JPF: 9,041 cfs as of Jan 12, 2026</w:t>
      </w:r>
    </w:p>
    <w:p>
      <w:pPr>
        <w:pStyle w:val="Compact"/>
        <w:numPr>
          <w:ilvl w:val="1"/>
          <w:numId w:val="1014"/>
        </w:numPr>
      </w:pPr>
      <w:r>
        <w:t xml:space="preserve">Adult abundance (Age 1+ LFS index): 2479.2 fish</w:t>
      </w:r>
    </w:p>
    <w:p>
      <w:pPr>
        <w:pStyle w:val="Compact"/>
        <w:numPr>
          <w:ilvl w:val="2"/>
          <w:numId w:val="1015"/>
        </w:numPr>
      </w:pPr>
      <w:r>
        <w:t xml:space="preserve">5% of abundance + 1: 125.0</w:t>
      </w:r>
    </w:p>
    <w:p>
      <w:pPr>
        <w:pStyle w:val="Compact"/>
        <w:numPr>
          <w:ilvl w:val="1"/>
          <w:numId w:val="1014"/>
        </w:numPr>
      </w:pPr>
      <w:r>
        <w:t xml:space="preserve">Water year total adult longfin smelt salvage = 0</w:t>
      </w:r>
    </w:p>
    <w:bookmarkEnd w:id="74"/>
    <w:bookmarkStart w:id="75" w:name="larvaljuvenile-longfin-smelt"/>
    <w:p>
      <w:pPr>
        <w:pStyle w:val="Heading5"/>
      </w:pPr>
      <w:r>
        <w:t xml:space="preserve">2.3.2.3 Larval/juvenile longfin smelt</w:t>
      </w:r>
    </w:p>
    <w:p>
      <w:pPr>
        <w:pStyle w:val="Compact"/>
        <w:numPr>
          <w:ilvl w:val="0"/>
          <w:numId w:val="1016"/>
        </w:numPr>
      </w:pPr>
      <w:r>
        <w:rPr>
          <w:b/>
          <w:bCs/>
        </w:rPr>
        <w:t xml:space="preserve">Threshold:</w:t>
      </w:r>
      <w:r>
        <w:t xml:space="preserve"> </w:t>
      </w:r>
      <w:r>
        <w:t xml:space="preserve">JPF &lt; 0 cfs AND population model demonstrates need to reduce entrainment to avoid population decline</w:t>
      </w:r>
    </w:p>
    <w:p>
      <w:pPr>
        <w:pStyle w:val="Compact"/>
        <w:numPr>
          <w:ilvl w:val="1"/>
          <w:numId w:val="1017"/>
        </w:numPr>
      </w:pPr>
      <w:r>
        <w:t xml:space="preserve">Daily average JPF: 9,041 cfs as of Jan 12, 2026</w:t>
      </w:r>
    </w:p>
    <w:bookmarkEnd w:id="75"/>
    <w:bookmarkEnd w:id="76"/>
    <w:bookmarkStart w:id="77" w:name="evaluation-1"/>
    <w:p>
      <w:pPr>
        <w:pStyle w:val="Heading4"/>
      </w:pPr>
      <w:r>
        <w:t xml:space="preserve">2.3.3 Evaluation</w:t>
      </w:r>
    </w:p>
    <w:p>
      <w:pPr>
        <w:pStyle w:val="FirstParagraph"/>
      </w:pPr>
      <w:r>
        <w:rPr>
          <w:b/>
          <w:bCs/>
        </w:rPr>
        <w:t xml:space="preserve">Longfin smelt:</w:t>
      </w:r>
    </w:p>
    <w:p>
      <w:pPr>
        <w:numPr>
          <w:ilvl w:val="0"/>
          <w:numId w:val="1018"/>
        </w:numPr>
      </w:pPr>
      <w:r>
        <w:t xml:space="preserve">If JPF &lt; 0, what is the trajectory of annual loss of adult longfin smelt and is it likely to exceed 5% of the adult population estimate? Is South Delta entrainment expected to decrease due to a reduction in export pumping?</w:t>
      </w:r>
    </w:p>
    <w:p>
      <w:pPr>
        <w:numPr>
          <w:ilvl w:val="0"/>
          <w:numId w:val="1000"/>
        </w:numPr>
      </w:pPr>
      <w:r>
        <w:t xml:space="preserve">JPF is not &lt; 0 cfs and no adult longfin smelt have been detected in salvage.</w:t>
      </w:r>
    </w:p>
    <w:p>
      <w:pPr>
        <w:numPr>
          <w:ilvl w:val="0"/>
          <w:numId w:val="1018"/>
        </w:numPr>
      </w:pPr>
      <w:r>
        <w:t xml:space="preserve">For larval and juvenile longfin smelt, if JPF &lt; 0 cfs, do particle tracking models show a moderate to high difference in particle fates across different OMRI scenarios? Does Zone of Influence modeling show moderate to high changes in hydrodynamic footprint across different OMRI scenarios? Are these effects anticipated to cause a population decline?</w:t>
      </w:r>
    </w:p>
    <w:p>
      <w:pPr>
        <w:numPr>
          <w:ilvl w:val="0"/>
          <w:numId w:val="1000"/>
        </w:numPr>
      </w:pPr>
      <w:r>
        <w:t xml:space="preserve">JPF is not less than zero. ZOI modeling shows moderate change in the hydrodynamic footprint</w:t>
      </w:r>
      <w:r>
        <w:t xml:space="preserve"> </w:t>
      </w:r>
      <w:r>
        <w:t xml:space="preserve">between OMRI scenarios.</w:t>
      </w:r>
    </w:p>
    <w:p>
      <w:pPr>
        <w:numPr>
          <w:ilvl w:val="0"/>
          <w:numId w:val="1018"/>
        </w:numPr>
      </w:pPr>
      <w:r>
        <w:t xml:space="preserve">Is there additional information or other analyses that should be considered in this evaluation?</w:t>
      </w:r>
    </w:p>
    <w:p>
      <w:pPr>
        <w:numPr>
          <w:ilvl w:val="0"/>
          <w:numId w:val="1000"/>
        </w:numPr>
      </w:pPr>
      <w:r>
        <w:t xml:space="preserve">Additional information may be discussed if needed at the DAT call.</w:t>
      </w:r>
    </w:p>
    <w:bookmarkEnd w:id="77"/>
    <w:bookmarkEnd w:id="78"/>
    <w:bookmarkStart w:id="79" w:name="end-of-smelt-entrainment-management"/>
    <w:p>
      <w:pPr>
        <w:pStyle w:val="Heading3"/>
      </w:pPr>
      <w:r>
        <w:t xml:space="preserve">2.4 End of smelt Entrainment Management</w:t>
      </w:r>
    </w:p>
    <w:p>
      <w:pPr>
        <w:pStyle w:val="Compact"/>
        <w:numPr>
          <w:ilvl w:val="0"/>
          <w:numId w:val="1019"/>
        </w:numPr>
      </w:pPr>
      <w:r>
        <w:t xml:space="preserve">Not relevant</w:t>
      </w:r>
    </w:p>
    <w:bookmarkEnd w:id="79"/>
    <w:bookmarkStart w:id="80" w:name="references"/>
    <w:p>
      <w:pPr>
        <w:pStyle w:val="Heading3"/>
      </w:pPr>
      <w:r>
        <w:t xml:space="preserve">2.5 References</w:t>
      </w:r>
    </w:p>
    <w:p>
      <w:pPr>
        <w:pStyle w:val="FirstParagraph"/>
      </w:pPr>
      <w:r>
        <w:t xml:space="preserve">Damon, L. J., S. B. Slater, R. D. Baxter, and R. W. Fujimura. 2016.</w:t>
      </w:r>
      <w:r>
        <w:t xml:space="preserve"> </w:t>
      </w:r>
      <w:r>
        <w:t xml:space="preserve">Fecundity and reproductive potential of wild female Delta smelt in the upper San</w:t>
      </w:r>
      <w:r>
        <w:t xml:space="preserve"> </w:t>
      </w:r>
      <w:r>
        <w:t xml:space="preserve">Francisco Estuary, California. California Fish and Game 102(4):188–210.</w:t>
      </w:r>
    </w:p>
    <w:p>
      <w:pPr>
        <w:pStyle w:val="BodyText"/>
      </w:pPr>
      <w:r>
        <w:t xml:space="preserve">Grimaldo, L. F., T. Sommer, N. Van Ark, G. Jones, E. Holland, P. B. Moyle,</w:t>
      </w:r>
      <w:r>
        <w:t xml:space="preserve"> </w:t>
      </w:r>
      <w:r>
        <w:t xml:space="preserve">B. Herbold &amp; P. Smith (2009) Factors Affecting Fish Entrainment into Massive Water</w:t>
      </w:r>
      <w:r>
        <w:t xml:space="preserve"> </w:t>
      </w:r>
      <w:r>
        <w:t xml:space="preserve">Diversions in a Tidal Freshwater Estuary: Can Fish Losses be Managed? North</w:t>
      </w:r>
      <w:r>
        <w:t xml:space="preserve"> </w:t>
      </w:r>
      <w:r>
        <w:t xml:space="preserve">American Journal of Fisheries Management, 29:5, 1253-1270, DOI: 10.1577/M08-062.1</w:t>
      </w:r>
    </w:p>
    <w:p>
      <w:pPr>
        <w:pStyle w:val="BodyText"/>
      </w:pPr>
      <w:r>
        <w:t xml:space="preserve">Sommer, T., F. Mejia, M. Nobriga, and L. Grimaldo. 2011. The Spawning Migration</w:t>
      </w:r>
      <w:r>
        <w:t xml:space="preserve"> </w:t>
      </w:r>
      <w:r>
        <w:t xml:space="preserve">of Delta Smelt in the Upper San Francisco Estuary. San Francisco Estuary and Watershed Science 9(2).</w:t>
      </w:r>
    </w:p>
    <w:bookmarkEnd w:id="80"/>
    <w:bookmarkEnd w:id="81"/>
    <w:sectPr w:rsidR="00AC7395">
      <w:headerReference r:id="rId9" w:type="even"/>
      <w:headerReference r:id="rId11" w:type="default"/>
      <w:footerReference r:id="rId14" w:type="even"/>
      <w:footerReference r:id="rId13" w:type="default"/>
      <w:headerReference r:id="rId10" w:type="first"/>
      <w:footerReference r:id="rId12" w:type="first"/>
      <w:footnotePr>
        <w:numRestart w:val="eachSect"/>
      </w:footnotePr>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7F76D" w14:textId="77777777" w:rsidR="00497B28" w:rsidRDefault="00497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071887"/>
      <w:docPartObj>
        <w:docPartGallery w:val="Page Numbers (Bottom of Page)"/>
        <w:docPartUnique/>
      </w:docPartObj>
    </w:sdtPr>
    <w:sdtEndPr>
      <w:rPr>
        <w:noProof/>
      </w:rPr>
    </w:sdtEndPr>
    <w:sdtContent>
      <w:p w14:paraId="2D32306A" w14:textId="7B292407" w:rsidR="00497B28" w:rsidRDefault="00497B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01F785" w14:textId="77777777" w:rsidR="00497B28" w:rsidRDefault="00497B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11C14" w14:textId="77777777" w:rsidR="00497B28" w:rsidRDefault="00497B28">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7C24" w14:textId="77777777" w:rsidR="00497B28" w:rsidRDefault="00497B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5F43F" w14:textId="77777777" w:rsidR="00497B28" w:rsidRDefault="00497B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8535" w14:textId="77777777" w:rsidR="00497B28" w:rsidRDefault="00497B28">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FB72EDB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125778032" w:numId="1">
    <w:abstractNumId w:val="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C7395"/>
    <w:rsid w:val="001C2334"/>
    <w:rsid w:val="00497B28"/>
    <w:rsid w:val="00AC7395"/>
    <w:rsid w:val="00E40A47"/>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qFormat/>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FootnoteBlockText" w:type="paragraph">
    <w:name w:val="Footnote Block Text"/>
    <w:basedOn w:val="FootnoteText"/>
    <w:next w:val="FootnoteText"/>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Pr>
      <w:color w:themeColor="accent1" w:val="156082"/>
    </w:rPr>
  </w:style>
  <w:style w:styleId="TOCHeading" w:type="paragraph">
    <w:name w:val="TOC Heading"/>
    <w:basedOn w:val="Heading1"/>
    <w:next w:val="BodyText"/>
    <w:uiPriority w:val="39"/>
    <w:unhideWhenUsed/>
    <w:qFormat/>
    <w:pPr>
      <w:spacing w:before="240" w:line="259" w:lineRule="auto"/>
      <w:outlineLvl w:val="9"/>
    </w:pPr>
  </w:style>
  <w:style w:styleId="Header" w:type="paragraph">
    <w:name w:val="header"/>
    <w:basedOn w:val="Normal"/>
    <w:link w:val="HeaderChar"/>
    <w:rsid w:val="00497B28"/>
    <w:pPr>
      <w:tabs>
        <w:tab w:pos="4680" w:val="center"/>
        <w:tab w:pos="9360" w:val="right"/>
      </w:tabs>
      <w:spacing w:after="0"/>
    </w:pPr>
  </w:style>
  <w:style w:customStyle="1" w:styleId="HeaderChar" w:type="character">
    <w:name w:val="Header Char"/>
    <w:basedOn w:val="DefaultParagraphFont"/>
    <w:link w:val="Header"/>
    <w:rsid w:val="00497B28"/>
  </w:style>
  <w:style w:styleId="Footer" w:type="paragraph">
    <w:name w:val="footer"/>
    <w:basedOn w:val="Normal"/>
    <w:link w:val="FooterChar"/>
    <w:uiPriority w:val="99"/>
    <w:rsid w:val="00497B28"/>
    <w:pPr>
      <w:tabs>
        <w:tab w:pos="4680" w:val="center"/>
        <w:tab w:pos="9360" w:val="right"/>
      </w:tabs>
      <w:spacing w:after="0"/>
    </w:pPr>
  </w:style>
  <w:style w:customStyle="1" w:styleId="FooterChar" w:type="character">
    <w:name w:val="Footer Char"/>
    <w:basedOn w:val="DefaultParagraphFont"/>
    <w:link w:val="Footer"/>
    <w:uiPriority w:val="99"/>
    <w:rsid w:val="00497B28"/>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header3.xml" Type="http://schemas.openxmlformats.org/officeDocument/2006/relationships/header" /><Relationship Id="rId11" Target="header2.xml" Type="http://schemas.openxmlformats.org/officeDocument/2006/relationships/header" /><Relationship Id="rId12" Target="footer3.xml" Type="http://schemas.openxmlformats.org/officeDocument/2006/relationships/footer" /><Relationship Id="rId13" Target="footer2.xml" Type="http://schemas.openxmlformats.org/officeDocument/2006/relationships/footer" /><Relationship Id="rId14" Target="footer1.xml" Type="http://schemas.openxmlformats.org/officeDocument/2006/relationships/footer" /><Relationship Type="http://schemas.openxmlformats.org/officeDocument/2006/relationships/image" Id="rId45" Target="media/rId45.png" /><Relationship Type="http://schemas.openxmlformats.org/officeDocument/2006/relationships/image" Id="rId40" Target="media/rId40.png" /><Relationship Type="http://schemas.openxmlformats.org/officeDocument/2006/relationships/image" Id="rId68" Target="media/rId68.png" /><Relationship Type="http://schemas.openxmlformats.org/officeDocument/2006/relationships/image" Id="rId63" Target="media/rId63.png" /><Relationship Type="http://schemas.openxmlformats.org/officeDocument/2006/relationships/image" Id="rId22" Target="media/rId22.png" /><Relationship Type="http://schemas.openxmlformats.org/officeDocument/2006/relationships/image" Id="rId30" Target="media/rId30.png" /><Relationship Type="http://schemas.openxmlformats.org/officeDocument/2006/relationships/image" Id="rId52" Target="media/rId52.png" /><Relationship Type="http://schemas.openxmlformats.org/officeDocument/2006/relationships/hyperlink" Id="rId59" Target="https://github.com/Delta-Stewardship-Council/deltafish" TargetMode="External" /><Relationship Type="http://schemas.openxmlformats.org/officeDocument/2006/relationships/hyperlink" Id="rId55" Target="https://www.baydeltalive.com/current_conditions/constituent-tracker-turbidity" TargetMode="External" /><Relationship Type="http://schemas.openxmlformats.org/officeDocument/2006/relationships/hyperlink" Id="rId28" Target="https://www.cbr.washington.edu/sacramento/data/query_river_table.html" TargetMode="External" /><Relationship Type="http://schemas.openxmlformats.org/officeDocument/2006/relationships/hyperlink" Id="rId38" Target="https://www.cbr.washington.edu/sacramento/data/query_salvage_hrt.html" TargetMode="External" /><Relationship Type="http://schemas.openxmlformats.org/officeDocument/2006/relationships/hyperlink" Id="rId36" Target="https://www.cbr.washington.edu/sacramento/workgroups/delta_smelt.html" TargetMode="External" /><Relationship Type="http://schemas.openxmlformats.org/officeDocument/2006/relationships/hyperlink" Id="rId29" Target="https://www.cnrfc.noaa.gov/deterministicHourlyProductCSV.php" TargetMode="External" /></Relationships>
</file>

<file path=word/_rels/footnotes.xml.rels><?xml version="1.0" encoding="UTF-8"?><Relationships xmlns="http://schemas.openxmlformats.org/package/2006/relationships"><Relationship Type="http://schemas.openxmlformats.org/officeDocument/2006/relationships/hyperlink" Id="rId59" Target="https://github.com/Delta-Stewardship-Council/deltafish" TargetMode="External" /><Relationship Type="http://schemas.openxmlformats.org/officeDocument/2006/relationships/hyperlink" Id="rId55" Target="https://www.baydeltalive.com/current_conditions/constituent-tracker-turbidity" TargetMode="External" /><Relationship Type="http://schemas.openxmlformats.org/officeDocument/2006/relationships/hyperlink" Id="rId28" Target="https://www.cbr.washington.edu/sacramento/data/query_river_table.html" TargetMode="External" /><Relationship Type="http://schemas.openxmlformats.org/officeDocument/2006/relationships/hyperlink" Id="rId38" Target="https://www.cbr.washington.edu/sacramento/data/query_salvage_hrt.html" TargetMode="External" /><Relationship Type="http://schemas.openxmlformats.org/officeDocument/2006/relationships/hyperlink" Id="rId36" Target="https://www.cbr.washington.edu/sacramento/workgroups/delta_smelt.html" TargetMode="External" /><Relationship Type="http://schemas.openxmlformats.org/officeDocument/2006/relationships/hyperlink" Id="rId29" Target="https://www.cnrfc.noaa.gov/deterministicHourlyProductCSV.ph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66</Words>
  <Characters>356</Characters>
  <Application>Microsoft Office Word</Application>
  <DocSecurity>0</DocSecurity>
  <Lines>39</Lines>
  <Paragraphs>42</Paragraphs>
  <ScaleCrop>false</ScaleCrop>
  <Company/>
  <LinksUpToDate>false</LinksUpToDate>
  <CharactersWithSpaces>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Assessment for Delta Operations on ESA and CESA-listed Osmerids including Current Delta Hydrologic Conditions</dc:title>
  <dc:creator/>
  <cp:keywords/>
  <dcterms:created xsi:type="dcterms:W3CDTF">2026-01-14T00:07:50Z</dcterms:created>
  <dcterms:modified xsi:type="dcterms:W3CDTF">2026-01-14T00:07:50Z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xecute">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subtitle">
    <vt:lpwstr>Final: Tuesday, January 13, 2026 at 4 PM</vt:lpwstr>
  </property>
  <property fmtid="{D5CDD505-2E9C-101B-9397-08002B2CF9AE}" pid="9" name="toc-title">
    <vt:lpwstr>Table of contents</vt:lpwstr>
  </property>
</Properties>
</file>