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9.png" ContentType="image/png"/>
  <Override PartName="/word/media/rId73.png" ContentType="image/png"/>
  <Override PartName="/word/media/rId77.png" ContentType="image/png"/>
  <Override PartName="/word/media/rId81.png" ContentType="image/png"/>
  <Override PartName="/word/media/rId57.png" ContentType="image/png"/>
  <Override PartName="/word/media/rId50.png" ContentType="image/png"/>
  <Override PartName="/word/media/rId38.png" ContentType="image/png"/>
  <Override PartName="/word/media/rId34.png" ContentType="image/png"/>
  <Override PartName="/word/media/rId30.png" ContentType="image/png"/>
  <Override PartName="/word/media/rId2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29b5f33945bac93ce69a4140f075cf8233c41e3"/>
    <w:p>
      <w:pPr>
        <w:pStyle w:val="Heading2"/>
      </w:pPr>
      <w:r>
        <w:t xml:space="preserve">Assessment for Delta Operations on Salmonids</w:t>
      </w:r>
    </w:p>
    <w:p>
      <w:pPr>
        <w:pStyle w:val="FirstParagraph"/>
      </w:pPr>
      <w:r>
        <w:t xml:space="preserve">Final:</w:t>
      </w:r>
      <w:r>
        <w:t xml:space="preserve"> </w:t>
      </w:r>
      <w:r>
        <w:rPr>
          <w:i/>
          <w:iCs/>
        </w:rPr>
        <w:t xml:space="preserve">Tuesday, January 13, 2026 at 4 PM</w:t>
      </w:r>
    </w:p>
    <w:p>
      <w:pPr>
        <w:pStyle w:val="BodyText"/>
      </w:pPr>
      <w:r>
        <w:t xml:space="preserve">For more detailed data on salmonid conditions in the Delta see corresponding webpage on</w:t>
      </w:r>
      <w:r>
        <w:t xml:space="preserve"> </w:t>
      </w:r>
      <w:hyperlink r:id="rId20">
        <w:r>
          <w:rPr>
            <w:rStyle w:val="Hyperlink"/>
          </w:rPr>
          <w:t xml:space="preserve">SacPAS</w:t>
        </w:r>
      </w:hyperlink>
      <w:r>
        <w:t xml:space="preserve">.</w:t>
      </w:r>
    </w:p>
    <w:bookmarkStart w:id="21" w:name="executive-summary"/>
    <w:p>
      <w:pPr>
        <w:pStyle w:val="Heading3"/>
      </w:pPr>
      <w:r>
        <w:t xml:space="preserve">Executive Summary</w:t>
      </w:r>
    </w:p>
    <w:p>
      <w:pPr>
        <w:numPr>
          <w:ilvl w:val="0"/>
          <w:numId w:val="1001"/>
        </w:numPr>
      </w:pPr>
      <w:r>
        <w:t xml:space="preserve">Entrainment management season is</w:t>
      </w:r>
      <w:r>
        <w:t xml:space="preserve"> </w:t>
      </w:r>
      <w:r>
        <w:rPr>
          <w:b/>
          <w:bCs/>
        </w:rPr>
        <w:t xml:space="preserve">active</w:t>
      </w:r>
      <w:r>
        <w:t xml:space="preserve">.</w:t>
      </w:r>
    </w:p>
    <w:p>
      <w:pPr>
        <w:numPr>
          <w:ilvl w:val="0"/>
          <w:numId w:val="1001"/>
        </w:numPr>
      </w:pPr>
      <w:r>
        <w:t xml:space="preserve">Season Loss:</w:t>
      </w:r>
      <w:r>
        <w:t xml:space="preserve"> </w:t>
      </w:r>
      <w:r>
        <w:rPr>
          <w:b/>
          <w:bCs/>
        </w:rPr>
        <w:t xml:space="preserve">0</w:t>
      </w:r>
      <w:r>
        <w:t xml:space="preserve"> </w:t>
      </w:r>
      <w:r>
        <w:t xml:space="preserve">(0.00% of threshold) DNA Winter-run,</w:t>
      </w:r>
      <w:r>
        <w:t xml:space="preserve"> </w:t>
      </w:r>
      <w:r>
        <w:rPr>
          <w:b/>
          <w:bCs/>
        </w:rPr>
        <w:t xml:space="preserve">0</w:t>
      </w:r>
      <w:r>
        <w:t xml:space="preserve"> </w:t>
      </w:r>
      <w:r>
        <w:t xml:space="preserve">(0.00% of threshold) Hatchery Winter-run,</w:t>
      </w:r>
      <w:r>
        <w:t xml:space="preserve"> </w:t>
      </w:r>
      <w:r>
        <w:rPr>
          <w:b/>
          <w:bCs/>
        </w:rPr>
        <w:t xml:space="preserve">43.91</w:t>
      </w:r>
      <w:r>
        <w:t xml:space="preserve"> </w:t>
      </w:r>
      <w:r>
        <w:t xml:space="preserve">(0.83% of threshold) Natural Steelhead,</w:t>
      </w:r>
      <w:r>
        <w:t xml:space="preserve"> </w:t>
      </w:r>
      <w:r>
        <w:rPr>
          <w:b/>
          <w:bCs/>
        </w:rPr>
        <w:t xml:space="preserve">122.07</w:t>
      </w:r>
      <w:r>
        <w:t xml:space="preserve"> </w:t>
      </w:r>
      <w:r>
        <w:t xml:space="preserve">(3.42% of threshold) Hatchery Steelhead, and</w:t>
      </w:r>
      <w:r>
        <w:t xml:space="preserve"> </w:t>
      </w:r>
      <w:r>
        <w:rPr>
          <w:b/>
          <w:bCs/>
        </w:rPr>
        <w:t xml:space="preserve">872.69</w:t>
      </w:r>
      <w:r>
        <w:t xml:space="preserve"> </w:t>
      </w:r>
      <w:r>
        <w:t xml:space="preserve">(10.84% of threshold) Spring-run Surrogates.</w:t>
      </w:r>
    </w:p>
    <w:p>
      <w:pPr>
        <w:numPr>
          <w:ilvl w:val="0"/>
          <w:numId w:val="1001"/>
        </w:numPr>
      </w:pPr>
      <w:r>
        <w:t xml:space="preserve">Winter-run presence in the Delta is</w:t>
      </w:r>
      <w:r>
        <w:t xml:space="preserve"> </w:t>
      </w:r>
      <w:r>
        <w:rPr>
          <w:b/>
          <w:bCs/>
        </w:rPr>
        <w:t xml:space="preserve">high</w:t>
      </w:r>
      <w:r>
        <w:t xml:space="preserve"> </w:t>
      </w:r>
      <w:r>
        <w:t xml:space="preserve">(historical peak).</w:t>
      </w:r>
    </w:p>
    <w:p>
      <w:pPr>
        <w:numPr>
          <w:ilvl w:val="0"/>
          <w:numId w:val="1001"/>
        </w:numPr>
      </w:pPr>
      <w:r>
        <w:t xml:space="preserve">Steelhead presence in the Delta is</w:t>
      </w:r>
      <w:r>
        <w:t xml:space="preserve"> </w:t>
      </w:r>
      <w:r>
        <w:rPr>
          <w:b/>
          <w:bCs/>
        </w:rPr>
        <w:t xml:space="preserve">increasing</w:t>
      </w:r>
      <w:r>
        <w:t xml:space="preserve">.</w:t>
      </w:r>
    </w:p>
    <w:bookmarkEnd w:id="21"/>
    <w:bookmarkStart w:id="43" w:name="natural-winter-run-chinook"/>
    <w:p>
      <w:pPr>
        <w:pStyle w:val="Heading3"/>
      </w:pPr>
      <w:r>
        <w:t xml:space="preserve">Natural Winter-run Chinook</w:t>
      </w:r>
    </w:p>
    <w:bookmarkStart w:id="22" w:name="juvenile-production-estimate"/>
    <w:p>
      <w:pPr>
        <w:pStyle w:val="Heading4"/>
      </w:pPr>
      <w:r>
        <w:t xml:space="preserve">Juvenile Production Estimate</w:t>
      </w:r>
    </w:p>
    <w:p>
      <w:pPr>
        <w:pStyle w:val="FirstParagraph"/>
      </w:pPr>
      <w:r>
        <w:t xml:space="preserve">The Juvenile Production Estimate for winter-run is 1,057,452 for the current water year.</w:t>
      </w:r>
    </w:p>
    <w:bookmarkEnd w:id="22"/>
    <w:bookmarkStart w:id="24" w:name="current-status"/>
    <w:p>
      <w:pPr>
        <w:pStyle w:val="Heading4"/>
      </w:pPr>
      <w:r>
        <w:t xml:space="preserve">Current Status</w:t>
      </w:r>
    </w:p>
    <w:p>
      <w:pPr>
        <w:pStyle w:val="FirstParagraph"/>
      </w:pPr>
      <w:r>
        <w:rPr>
          <w:i/>
          <w:iCs/>
        </w:rPr>
        <w:t xml:space="preserve">Entry Timing</w:t>
      </w:r>
      <w:r>
        <w:t xml:space="preserve"> </w:t>
      </w:r>
      <w:r>
        <w:t xml:space="preserve">- Historically, as of Jan 12, 75% of length-at-date (LAD) winter-run have entered the delta based on Knights Landing RST catch, 2% have exited the delta based on Chipps Island Trawl Catch, and 0%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23" w:name="tbl-wr_timing_table"/>
          <w:p>
            <w:pPr>
              <w:jc w:val="center"/>
            </w:pPr>
            <w:pPr>
              <w:jc w:val="left"/>
              <w:spacing w:before="200"/>
              <w:pStyle w:val="ImageCaption"/>
            </w:pPr>
            <w:r>
              <w:t xml:space="preserve">Table 1</w:t>
            </w:r>
          </w:p>
          <w:tbl>
            <w:tblPr>
              <w:tblStyle w:val="Table"/>
              <w:tblW w:type="pct" w:w="5000"/>
              <w:tblLayout w:type="fixed"/>
              <w:tblLook w:firstRow="1" w:lastRow="0" w:firstColumn="0" w:lastColumn="0" w:noHBand="0" w:noVBand="0" w:val="0020"/>
            </w:tblPr>
            <w:tblGrid>
              <w:gridCol w:w="2484"/>
              <w:gridCol w:w="1242"/>
              <w:gridCol w:w="621"/>
              <w:gridCol w:w="1035"/>
              <w:gridCol w:w="1087"/>
              <w:gridCol w:w="1035"/>
              <w:gridCol w:w="414"/>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Winter-run, Unclipped</w:t>
                  </w:r>
                </w:p>
              </w:tc>
              <w:tc>
                <w:tcPr/>
                <w:p>
                  <w:pPr>
                    <w:pStyle w:val="Compact"/>
                    <w:jc w:val="right"/>
                    <w:jc w:val="center"/>
                  </w:pPr>
                  <w:r>
                    <w:t xml:space="preserve">98%</w:t>
                  </w:r>
                </w:p>
              </w:tc>
              <w:tc>
                <w:tcPr/>
                <w:p>
                  <w:pPr>
                    <w:pStyle w:val="Compact"/>
                    <w:jc w:val="right"/>
                    <w:jc w:val="center"/>
                  </w:pPr>
                  <w:r>
                    <w:t xml:space="preserve">78%</w:t>
                  </w:r>
                </w:p>
              </w:tc>
              <w:tc>
                <w:tcPr/>
                <w:p>
                  <w:pPr>
                    <w:pStyle w:val="Compact"/>
                    <w:jc w:val="right"/>
                    <w:jc w:val="center"/>
                  </w:pPr>
                  <w:r>
                    <w:t xml:space="preserve">75%</w:t>
                  </w:r>
                </w:p>
              </w:tc>
              <w:tc>
                <w:tcPr/>
                <w:p>
                  <w:pPr>
                    <w:pStyle w:val="Compact"/>
                    <w:jc w:val="right"/>
                    <w:jc w:val="center"/>
                  </w:pPr>
                  <w:r>
                    <w:t xml:space="preserve">38%</w:t>
                  </w:r>
                </w:p>
              </w:tc>
              <w:tc>
                <w:tcPr/>
                <w:p>
                  <w:pPr>
                    <w:pStyle w:val="Compact"/>
                    <w:jc w:val="right"/>
                    <w:jc w:val="center"/>
                  </w:pPr>
                  <w:r>
                    <w:t xml:space="preserve">2%</w:t>
                  </w:r>
                </w:p>
              </w:tc>
              <w:tc>
                <w:tcPr/>
                <w:p>
                  <w:pPr>
                    <w:pStyle w:val="Compact"/>
                    <w:jc w:val="right"/>
                    <w:jc w:val="center"/>
                  </w:pPr>
                  <w:r>
                    <w:t xml:space="preserve">15%</w:t>
                  </w:r>
                </w:p>
              </w:tc>
            </w:tr>
            <w:tr>
              <w:tc>
                <w:tcPr/>
                <w:p>
                  <w:pPr>
                    <w:pStyle w:val="Compact"/>
                    <w:jc w:val="left"/>
                    <w:jc w:val="center"/>
                  </w:pPr>
                  <w:r>
                    <w:t xml:space="preserve">Chinook, DNA Winter-run, Unclipped (Water Year)</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0%</w:t>
                  </w:r>
                </w:p>
              </w:tc>
            </w:tr>
          </w:tbl>
          <w:bookmarkEnd w:id="23"/>
          <w:p/>
        </w:tc>
      </w:tr>
    </w:tbl>
    <w:p>
      <w:pPr>
        <w:pStyle w:val="BodyText"/>
      </w:pPr>
      <w:r>
        <w:rPr>
          <w:i/>
          <w:iCs/>
        </w:rPr>
        <w:t xml:space="preserve">Red Bluff Diversion Dam Passage Estimate</w:t>
      </w:r>
      <w:r>
        <w:t xml:space="preserve"> </w:t>
      </w:r>
      <w:r>
        <w:t xml:space="preserve">- As of Dec 16 estimated passage to date of LAD winter run at Red Bluff Diversion is approximately 3.61 million fish. *</w:t>
      </w:r>
      <w:r>
        <w:t xml:space="preserve"> </w:t>
      </w:r>
      <w:r>
        <w:rPr>
          <w:i/>
          <w:iCs/>
        </w:rPr>
        <w:t xml:space="preserve">Note that outmigration timing overlaps with spring run migrating fish, and true winter-run abundance likely differs from these estimates.</w:t>
      </w:r>
    </w:p>
    <w:p>
      <w:pPr>
        <w:pStyle w:val="BodyText"/>
      </w:pPr>
      <w:r>
        <w:rPr>
          <w:i/>
          <w:iCs/>
        </w:rPr>
        <w:t xml:space="preserve">Delta Monitoring</w:t>
      </w:r>
      <w:r>
        <w:t xml:space="preserve"> </w:t>
      </w:r>
      <w:r>
        <w:t xml:space="preserve">- Total catch of LAD winter run at RSTs at Delta Entry (Tisdale, Knights Landing, Lower Sacramento River) between Dec 30 and Jan 12 is 190 individuals. Total catch at Sacramento Trawl and Beach Seines in the delta between Dec 30 and Jan 12 is 15 individuals. Total catch at Delta Exit at Chipps Island between Dec 30 and Jan 08 is 1 individuals.</w:t>
      </w:r>
    </w:p>
    <w:bookmarkEnd w:id="24"/>
    <w:bookmarkStart w:id="29" w:name="annual-loss"/>
    <w:p>
      <w:pPr>
        <w:pStyle w:val="Heading4"/>
      </w:pPr>
      <w:r>
        <w:t xml:space="preserve">Annual Loss</w:t>
      </w:r>
    </w:p>
    <w:p>
      <w:pPr>
        <w:pStyle w:val="FirstParagraph"/>
      </w:pPr>
      <w:r>
        <w:t xml:space="preserve">The annual Loss threshold for natural winter-run is 1% of the jpe or 10,574.52 fish. As of January 12, cumulative loss of genetically confirmed winter-run is 0 or 0.00%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28" w:name="fig-wr_loss"/>
          <w:p>
            <w:pPr>
              <w:pStyle w:val="Compact"/>
              <w:jc w:val="center"/>
            </w:pPr>
            <w:r>
              <w:drawing>
                <wp:inline>
                  <wp:extent cx="4000500" cy="2909454"/>
                  <wp:effectExtent b="0" l="0" r="0" t="0"/>
                  <wp:docPr descr="" title="" id="26" name="Picture"/>
                  <a:graphic>
                    <a:graphicData uri="http://schemas.openxmlformats.org/drawingml/2006/picture">
                      <pic:pic>
                        <pic:nvPicPr>
                          <pic:cNvPr descr="samt-assessment-v1_files/figure-docx/fig-wr_loss-1.png" id="27" name="Picture"/>
                          <pic:cNvPicPr>
                            <a:picLocks noChangeArrowheads="1" noChangeAspect="1"/>
                          </pic:cNvPicPr>
                        </pic:nvPicPr>
                        <pic:blipFill>
                          <a:blip r:embed="rId25"/>
                          <a:stretch>
                            <a:fillRect/>
                          </a:stretch>
                        </pic:blipFill>
                        <pic:spPr bwMode="auto">
                          <a:xfrm>
                            <a:off x="0" y="0"/>
                            <a:ext cx="4000500" cy="2909454"/>
                          </a:xfrm>
                          <a:prstGeom prst="rect">
                            <a:avLst/>
                          </a:prstGeom>
                          <a:noFill/>
                          <a:ln w="9525">
                            <a:noFill/>
                            <a:headEnd/>
                            <a:tailEnd/>
                          </a:ln>
                        </pic:spPr>
                      </pic:pic>
                    </a:graphicData>
                  </a:graphic>
                </wp:inline>
              </w:drawing>
            </w:r>
          </w:p>
          <w:p>
            <w:pPr>
              <w:jc w:val="center"/>
            </w:pPr>
            <w:pPr>
              <w:jc w:val="left"/>
              <w:spacing w:before="200"/>
              <w:pStyle w:val="ImageCaption"/>
            </w:pPr>
            <w:r>
              <w:t xml:space="preserve">Figure 1: Cumulative loss of natural-origin winter-run for WY 2026. Cumulative loss is based on genetically confirmed winter-run captured in salvage or length-at-date winter-run in which genetic confirmation was unable to be obtained</w:t>
            </w:r>
          </w:p>
          <w:bookmarkEnd w:id="28"/>
        </w:tc>
      </w:tr>
    </w:tbl>
    <w:bookmarkEnd w:id="29"/>
    <w:bookmarkStart w:id="42" w:name="stars"/>
    <w:p>
      <w:pPr>
        <w:pStyle w:val="Heading4"/>
      </w:pPr>
      <w:r>
        <w:t xml:space="preserve">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January 12, overall through delta STARS estimated survival probability (with 80% credible intervals) is 0.73 (0.66-0.8) placing it in the 94th percentile of historical STARS survival estimates for the month of January (WYs 2018-2025). STARS estimated routing and survival probabilities (with 80% credible intervals) into the interior delta are 0.09 (0.08-0.11) and 0.61 (0.45-0.76), respectively, corresponding to the 6th and 90th percentiles of historical January estimates (WYs 2018-2025).</w:t>
      </w:r>
    </w:p>
    <w:tbl>
      <w:tblPr>
        <w:tblStyle w:val="Table"/>
        <w:tblW w:type="pct" w:w="5000"/>
        <w:tblLayout w:type="fixed"/>
        <w:tblLook w:firstRow="0" w:lastRow="0" w:firstColumn="0" w:lastColumn="0" w:noHBand="0" w:noVBand="0" w:val="0000"/>
      </w:tblPr>
      <w:tblGrid>
        <w:gridCol w:w="7920"/>
      </w:tblGrid>
      <w:tr>
        <w:tc>
          <w:tcPr/>
          <w:bookmarkStart w:id="33" w:name="fig-stars_survival"/>
          <w:p>
            <w:pPr>
              <w:pStyle w:val="Compact"/>
              <w:jc w:val="center"/>
            </w:pPr>
            <w:r>
              <w:drawing>
                <wp:inline>
                  <wp:extent cx="4000500" cy="2667000"/>
                  <wp:effectExtent b="0" l="0" r="0" t="0"/>
                  <wp:docPr descr="" title="" id="31" name="Picture"/>
                  <a:graphic>
                    <a:graphicData uri="http://schemas.openxmlformats.org/drawingml/2006/picture">
                      <pic:pic>
                        <pic:nvPicPr>
                          <pic:cNvPr descr="samt-assessment-v1_files/figure-docx/fig-stars_survival-1.png" id="32" name="Picture"/>
                          <pic:cNvPicPr>
                            <a:picLocks noChangeArrowheads="1" noChangeAspect="1"/>
                          </pic:cNvPicPr>
                        </pic:nvPicPr>
                        <pic:blipFill>
                          <a:blip r:embed="rId30"/>
                          <a:stretch>
                            <a:fillRect/>
                          </a:stretch>
                        </pic:blipFill>
                        <pic:spPr bwMode="auto">
                          <a:xfrm>
                            <a:off x="0" y="0"/>
                            <a:ext cx="4000500" cy="2667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Estimated overall winter-run survival from Knights Landing to Chipps Island. Black line indicates the current water-year, and other colored lines correspond to past water years.</w:t>
            </w:r>
          </w:p>
          <w:bookmarkEnd w:id="33"/>
        </w:tc>
      </w:tr>
    </w:tbl>
    <w:tbl>
      <w:tblPr>
        <w:tblStyle w:val="Table"/>
        <w:tblW w:type="pct" w:w="5000"/>
        <w:tblLayout w:type="fixed"/>
        <w:tblLook w:firstRow="0" w:lastRow="0" w:firstColumn="0" w:lastColumn="0" w:noHBand="0" w:noVBand="0" w:val="0000"/>
      </w:tblPr>
      <w:tblGrid>
        <w:gridCol w:w="7920"/>
      </w:tblGrid>
      <w:tr>
        <w:tc>
          <w:tcPr/>
          <w:bookmarkStart w:id="37" w:name="fig-stars_id_survival"/>
          <w:p>
            <w:pPr>
              <w:pStyle w:val="Compact"/>
              <w:jc w:val="center"/>
            </w:pPr>
            <w:r>
              <w:drawing>
                <wp:inline>
                  <wp:extent cx="4000500" cy="2667000"/>
                  <wp:effectExtent b="0" l="0" r="0" t="0"/>
                  <wp:docPr descr="" title="" id="35" name="Picture"/>
                  <a:graphic>
                    <a:graphicData uri="http://schemas.openxmlformats.org/drawingml/2006/picture">
                      <pic:pic>
                        <pic:nvPicPr>
                          <pic:cNvPr descr="samt-assessment-v1_files/figure-docx/fig-stars_id_survival-1.png" id="36" name="Picture"/>
                          <pic:cNvPicPr>
                            <a:picLocks noChangeArrowheads="1" noChangeAspect="1"/>
                          </pic:cNvPicPr>
                        </pic:nvPicPr>
                        <pic:blipFill>
                          <a:blip r:embed="rId34"/>
                          <a:stretch>
                            <a:fillRect/>
                          </a:stretch>
                        </pic:blipFill>
                        <pic:spPr bwMode="auto">
                          <a:xfrm>
                            <a:off x="0" y="0"/>
                            <a:ext cx="4000500" cy="2667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Estimated survival from Knights Landing to Chipps Island of simulate winter-run cohorts that route through the interior delta. Black line indicates the current water-year, and other colored lines correspond to past water years.</w:t>
            </w:r>
          </w:p>
          <w:bookmarkEnd w:id="37"/>
        </w:tc>
      </w:tr>
    </w:tbl>
    <w:tbl>
      <w:tblPr>
        <w:tblStyle w:val="Table"/>
        <w:tblW w:type="pct" w:w="5000"/>
        <w:tblLayout w:type="fixed"/>
        <w:tblLook w:firstRow="0" w:lastRow="0" w:firstColumn="0" w:lastColumn="0" w:noHBand="0" w:noVBand="0" w:val="0000"/>
      </w:tblPr>
      <w:tblGrid>
        <w:gridCol w:w="7920"/>
      </w:tblGrid>
      <w:tr>
        <w:tc>
          <w:tcPr/>
          <w:bookmarkStart w:id="41" w:name="fig-stars_id_routing"/>
          <w:p>
            <w:pPr>
              <w:pStyle w:val="Compact"/>
              <w:jc w:val="center"/>
            </w:pPr>
            <w:r>
              <w:drawing>
                <wp:inline>
                  <wp:extent cx="4000500" cy="2667000"/>
                  <wp:effectExtent b="0" l="0" r="0" t="0"/>
                  <wp:docPr descr="" title="" id="39" name="Picture"/>
                  <a:graphic>
                    <a:graphicData uri="http://schemas.openxmlformats.org/drawingml/2006/picture">
                      <pic:pic>
                        <pic:nvPicPr>
                          <pic:cNvPr descr="samt-assessment-v1_files/figure-docx/fig-stars_id_routing-1.png" id="40" name="Picture"/>
                          <pic:cNvPicPr>
                            <a:picLocks noChangeArrowheads="1" noChangeAspect="1"/>
                          </pic:cNvPicPr>
                        </pic:nvPicPr>
                        <pic:blipFill>
                          <a:blip r:embed="rId38"/>
                          <a:stretch>
                            <a:fillRect/>
                          </a:stretch>
                        </pic:blipFill>
                        <pic:spPr bwMode="auto">
                          <a:xfrm>
                            <a:off x="0" y="0"/>
                            <a:ext cx="4000500" cy="2667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Estimated probability of winter-run routing into the interior delta. Black line indicates the current water-year, and other colored lines correspond to past water years.</w:t>
            </w:r>
          </w:p>
          <w:bookmarkEnd w:id="41"/>
        </w:tc>
      </w:tr>
    </w:tbl>
    <w:bookmarkEnd w:id="42"/>
    <w:bookmarkEnd w:id="43"/>
    <w:bookmarkStart w:id="47" w:name="hatchery-winter-run-chinook"/>
    <w:p>
      <w:pPr>
        <w:pStyle w:val="Heading3"/>
      </w:pPr>
      <w:r>
        <w:t xml:space="preserve">Hatchery Winter-run Chinook</w:t>
      </w:r>
    </w:p>
    <w:bookmarkStart w:id="44" w:name="hatchery-releases"/>
    <w:p>
      <w:pPr>
        <w:pStyle w:val="Heading4"/>
      </w:pPr>
      <w:r>
        <w:t xml:space="preserve">Hatchery Releases</w:t>
      </w:r>
    </w:p>
    <w:p>
      <w:pPr>
        <w:pStyle w:val="FirstParagraph"/>
      </w:pPr>
      <w:r>
        <w:t xml:space="preserve">To date, no winter-run Livingstone hatchery releases have occurred in WY 2026</w:t>
      </w:r>
    </w:p>
    <w:bookmarkEnd w:id="44"/>
    <w:bookmarkStart w:id="45" w:name="juvenile-production-estimate-1"/>
    <w:p>
      <w:pPr>
        <w:pStyle w:val="Heading4"/>
      </w:pPr>
      <w:r>
        <w:t xml:space="preserve">Juvenile Production Estimate</w:t>
      </w:r>
    </w:p>
    <w:p>
      <w:pPr>
        <w:pStyle w:val="FirstParagraph"/>
      </w:pPr>
      <w:r>
        <w:t xml:space="preserve">The Juvenile Production Estimate for hatchery winter-run is 130,096 for Livingston Stone releases.</w:t>
      </w:r>
    </w:p>
    <w:bookmarkEnd w:id="45"/>
    <w:bookmarkStart w:id="46" w:name="annual-loss-1"/>
    <w:p>
      <w:pPr>
        <w:pStyle w:val="Heading4"/>
      </w:pPr>
      <w:r>
        <w:t xml:space="preserve">Annual Loss</w:t>
      </w:r>
    </w:p>
    <w:p>
      <w:pPr>
        <w:pStyle w:val="FirstParagraph"/>
      </w:pPr>
      <w:r>
        <w:t xml:space="preserve">To date, no loss has occurred as no hatchery winter-run have been released.</w:t>
      </w:r>
    </w:p>
    <w:bookmarkEnd w:id="46"/>
    <w:bookmarkEnd w:id="47"/>
    <w:bookmarkStart w:id="55" w:name="natural-origin-central-valley-steelhead"/>
    <w:p>
      <w:pPr>
        <w:pStyle w:val="Heading3"/>
      </w:pPr>
      <w:r>
        <w:t xml:space="preserve">Natural-origin Central Valley Steelhead</w:t>
      </w:r>
    </w:p>
    <w:bookmarkStart w:id="49" w:name="current-status-1"/>
    <w:p>
      <w:pPr>
        <w:pStyle w:val="Heading4"/>
      </w:pPr>
      <w:r>
        <w:t xml:space="preserve">Current Status</w:t>
      </w:r>
    </w:p>
    <w:p>
      <w:pPr>
        <w:pStyle w:val="FirstParagraph"/>
      </w:pPr>
      <w:r>
        <w:rPr>
          <w:i/>
          <w:iCs/>
        </w:rPr>
        <w:t xml:space="preserve">Delta Entry Timing</w:t>
      </w:r>
      <w:r>
        <w:t xml:space="preserve"> </w:t>
      </w:r>
      <w:r>
        <w:t xml:space="preserve">- Historically, as of Jan 12, 16% of CCV steelhead have entered the delta based on Knights Landing RST catch, 1% have exited the delta based on Chipps Island Trawl Catch, and 6% have been salvaged.</w:t>
      </w:r>
    </w:p>
    <w:tbl>
      <w:tblPr>
        <w:tblStyle w:val="Table"/>
        <w:tblW w:type="pct" w:w="5000"/>
        <w:tblLayout w:type="fixed"/>
        <w:tblLook w:firstRow="0" w:lastRow="0" w:firstColumn="0" w:lastColumn="0" w:noHBand="0" w:noVBand="0" w:val="0000"/>
      </w:tblPr>
      <w:tblGrid>
        <w:gridCol w:w="7920"/>
      </w:tblGrid>
      <w:tr>
        <w:tc>
          <w:tcPr/>
          <w:bookmarkStart w:id="48" w:name="tbl-sh_timing_table"/>
          <w:p>
            <w:pPr>
              <w:jc w:val="center"/>
            </w:pPr>
            <w:pPr>
              <w:jc w:val="left"/>
              <w:spacing w:before="200"/>
              <w:pStyle w:val="ImageCaption"/>
            </w:pPr>
            <w:r>
              <w:t xml:space="preserve">Table 2: Average Percent of annual emigrating population for unclipped CCV steelhead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320"/>
              <w:gridCol w:w="1508"/>
              <w:gridCol w:w="754"/>
              <w:gridCol w:w="1257"/>
              <w:gridCol w:w="1320"/>
              <w:gridCol w:w="1257"/>
              <w:gridCol w:w="50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Steelhead, Unclipped</w:t>
                  </w:r>
                </w:p>
              </w:tc>
              <w:tc>
                <w:tcPr/>
                <w:p>
                  <w:pPr>
                    <w:pStyle w:val="Compact"/>
                    <w:jc w:val="right"/>
                    <w:jc w:val="center"/>
                  </w:pPr>
                  <w:r>
                    <w:t xml:space="preserve">1%</w:t>
                  </w:r>
                </w:p>
              </w:tc>
              <w:tc>
                <w:tcPr/>
                <w:p>
                  <w:pPr>
                    <w:pStyle w:val="Compact"/>
                    <w:jc w:val="right"/>
                    <w:jc w:val="center"/>
                  </w:pPr>
                  <w:r>
                    <w:t xml:space="preserve">15%</w:t>
                  </w:r>
                </w:p>
              </w:tc>
              <w:tc>
                <w:tcPr/>
                <w:p>
                  <w:pPr>
                    <w:pStyle w:val="Compact"/>
                    <w:jc w:val="right"/>
                    <w:jc w:val="center"/>
                  </w:pPr>
                  <w:r>
                    <w:t xml:space="preserve">16%</w:t>
                  </w:r>
                </w:p>
              </w:tc>
              <w:tc>
                <w:tcPr/>
                <w:p>
                  <w:pPr>
                    <w:pStyle w:val="Compact"/>
                    <w:jc w:val="right"/>
                    <w:jc w:val="center"/>
                  </w:pPr>
                  <w:r>
                    <w:t xml:space="preserve">0%</w:t>
                  </w:r>
                </w:p>
              </w:tc>
              <w:tc>
                <w:tcPr/>
                <w:p>
                  <w:pPr>
                    <w:pStyle w:val="Compact"/>
                    <w:jc w:val="right"/>
                    <w:jc w:val="center"/>
                  </w:pPr>
                  <w:r>
                    <w:t xml:space="preserve">1%</w:t>
                  </w:r>
                </w:p>
              </w:tc>
              <w:tc>
                <w:tcPr/>
                <w:p>
                  <w:pPr>
                    <w:pStyle w:val="Compact"/>
                    <w:jc w:val="right"/>
                    <w:jc w:val="center"/>
                  </w:pPr>
                  <w:r>
                    <w:t xml:space="preserve">6%</w:t>
                  </w:r>
                </w:p>
              </w:tc>
            </w:tr>
          </w:tbl>
          <w:bookmarkEnd w:id="48"/>
          <w:p/>
        </w:tc>
      </w:tr>
    </w:tbl>
    <w:p>
      <w:pPr>
        <w:pStyle w:val="BodyText"/>
      </w:pPr>
      <w:r>
        <w:rPr>
          <w:i/>
          <w:iCs/>
        </w:rPr>
        <w:t xml:space="preserve">Delta Monitoring</w:t>
      </w:r>
      <w:r>
        <w:t xml:space="preserve"> </w:t>
      </w:r>
      <w:r>
        <w:t xml:space="preserve">- Total catch of LAD winter run at RSTs at Delta Entry (Tisdale, Knights Landing, Lower Sacramento River) between Dec 30 and Jan 12 is 0 individuals. Total catch at Sacramento Trawl and Beach Seines in the delta between Dec 30 and Jan 12 is 0 individuals. Total catch at Delta Exit at Chipps Island between Dec 30 and Jan 08 is 0 individuals.</w:t>
      </w:r>
    </w:p>
    <w:bookmarkEnd w:id="49"/>
    <w:bookmarkStart w:id="54" w:name="annual-loss-2"/>
    <w:p>
      <w:pPr>
        <w:pStyle w:val="Heading4"/>
      </w:pPr>
      <w:r>
        <w:t xml:space="preserve">Annual Loss</w:t>
      </w:r>
    </w:p>
    <w:p>
      <w:pPr>
        <w:pStyle w:val="FirstParagraph"/>
      </w:pPr>
      <w:r>
        <w:t xml:space="preserve">As of January 12, cumulative loss of unclipped steelhead is 43.91 or 0.83% of the incidental take limit in the NMFS Biological Opinion. Cumulative loss in the past 7 days has been 97.59.</w:t>
      </w:r>
    </w:p>
    <w:tbl>
      <w:tblPr>
        <w:tblStyle w:val="Table"/>
        <w:tblW w:type="pct" w:w="5000"/>
        <w:tblLayout w:type="fixed"/>
        <w:tblLook w:firstRow="0" w:lastRow="0" w:firstColumn="0" w:lastColumn="0" w:noHBand="0" w:noVBand="0" w:val="0000"/>
      </w:tblPr>
      <w:tblGrid>
        <w:gridCol w:w="7920"/>
      </w:tblGrid>
      <w:tr>
        <w:tc>
          <w:tcPr/>
          <w:bookmarkStart w:id="53" w:name="fig-sh_loss"/>
          <w:p>
            <w:pPr>
              <w:pStyle w:val="Compact"/>
              <w:jc w:val="center"/>
            </w:pPr>
            <w:r>
              <w:drawing>
                <wp:inline>
                  <wp:extent cx="4000500" cy="2909454"/>
                  <wp:effectExtent b="0" l="0" r="0" t="0"/>
                  <wp:docPr descr="" title="" id="51" name="Picture"/>
                  <a:graphic>
                    <a:graphicData uri="http://schemas.openxmlformats.org/drawingml/2006/picture">
                      <pic:pic>
                        <pic:nvPicPr>
                          <pic:cNvPr descr="samt-assessment-v1_files/figure-docx/fig-sh_loss-1.png" id="52" name="Picture"/>
                          <pic:cNvPicPr>
                            <a:picLocks noChangeArrowheads="1" noChangeAspect="1"/>
                          </pic:cNvPicPr>
                        </pic:nvPicPr>
                        <pic:blipFill>
                          <a:blip r:embed="rId50"/>
                          <a:stretch>
                            <a:fillRect/>
                          </a:stretch>
                        </pic:blipFill>
                        <pic:spPr bwMode="auto">
                          <a:xfrm>
                            <a:off x="0" y="0"/>
                            <a:ext cx="4000500" cy="2909454"/>
                          </a:xfrm>
                          <a:prstGeom prst="rect">
                            <a:avLst/>
                          </a:prstGeom>
                          <a:noFill/>
                          <a:ln w="9525">
                            <a:noFill/>
                            <a:headEnd/>
                            <a:tailEnd/>
                          </a:ln>
                        </pic:spPr>
                      </pic:pic>
                    </a:graphicData>
                  </a:graphic>
                </wp:inline>
              </w:drawing>
            </w:r>
          </w:p>
          <w:p>
            <w:pPr>
              <w:jc w:val="center"/>
            </w:pPr>
            <w:pPr>
              <w:jc w:val="left"/>
              <w:spacing w:before="200"/>
              <w:pStyle w:val="ImageCaption"/>
            </w:pPr>
            <w:r>
              <w:t xml:space="preserve">Figure 5: Cumulative loss of natural-origin steelhead for WY 2026.</w:t>
            </w:r>
          </w:p>
          <w:bookmarkEnd w:id="53"/>
        </w:tc>
      </w:tr>
    </w:tbl>
    <w:bookmarkEnd w:id="54"/>
    <w:bookmarkEnd w:id="55"/>
    <w:bookmarkStart w:id="62" w:name="hatchery-origin-central-valley-steelhead"/>
    <w:p>
      <w:pPr>
        <w:pStyle w:val="Heading3"/>
      </w:pPr>
      <w:r>
        <w:t xml:space="preserve">Hatchery-origin Central Valley Steelhead</w:t>
      </w:r>
    </w:p>
    <w:bookmarkStart w:id="61" w:name="surrogate-releases"/>
    <w:p>
      <w:pPr>
        <w:pStyle w:val="Heading4"/>
      </w:pPr>
      <w:r>
        <w:t xml:space="preserve">Surrogate Releases</w:t>
      </w:r>
    </w:p>
    <w:p>
      <w:pPr>
        <w:pStyle w:val="FirstParagraph"/>
      </w:pPr>
      <w:r>
        <w:t xml:space="preserve">There have been a total of 2 releases totaling 878,848 steelhead in Water Year 2026. JPE for the hatchery releases as of today is 356,526 based on estimated survivals using forecasted water year types (see details in table below). The annual loss threshold, equal to 1% of the JPE, is currently 3565,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56" w:name="tbl-sh_clipped_table"/>
          <w:p>
            <w:pPr>
              <w:jc w:val="center"/>
            </w:pPr>
            <w:pPr>
              <w:jc w:val="left"/>
              <w:spacing w:before="200"/>
              <w:pStyle w:val="ImageCaption"/>
            </w:pPr>
            <w:r>
              <w:t xml:space="preserve">Table 3: Summary of steelhead hatchery releases in Water Year 2026</w:t>
            </w:r>
          </w:p>
          <w:tbl>
            <w:tblPr>
              <w:tblStyle w:val="Table"/>
              <w:tblW w:type="pct" w:w="5000"/>
              <w:tblLayout w:type="fixed"/>
              <w:tblLook w:firstRow="1" w:lastRow="0" w:firstColumn="0" w:lastColumn="0" w:noHBand="0" w:noVBand="0" w:val="0020"/>
            </w:tblPr>
            <w:tblGrid>
              <w:gridCol w:w="642"/>
              <w:gridCol w:w="1141"/>
              <w:gridCol w:w="1569"/>
              <w:gridCol w:w="1141"/>
              <w:gridCol w:w="1355"/>
              <w:gridCol w:w="2069"/>
            </w:tblGrid>
            <w:tr>
              <w:trPr>
                <w:tblHeader w:val="on"/>
              </w:trPr>
              <w:tc>
                <w:tcPr/>
                <w:p>
                  <w:pPr>
                    <w:pStyle w:val="Compact"/>
                    <w:jc w:val="left"/>
                    <w:jc w:val="center"/>
                  </w:pPr>
                  <w:r>
                    <w:t xml:space="preserve">Hatchery</w:t>
                  </w:r>
                </w:p>
              </w:tc>
              <w:tc>
                <w:tcPr/>
                <w:p>
                  <w:pPr>
                    <w:pStyle w:val="Compact"/>
                    <w:jc w:val="right"/>
                    <w:jc w:val="center"/>
                  </w:pPr>
                  <w:r>
                    <w:t xml:space="preserve">Date of Release</w:t>
                  </w:r>
                </w:p>
              </w:tc>
              <w:tc>
                <w:tcPr/>
                <w:p>
                  <w:pPr>
                    <w:pStyle w:val="Compact"/>
                    <w:jc w:val="right"/>
                    <w:jc w:val="center"/>
                  </w:pPr>
                  <w:r>
                    <w:t xml:space="preserve">Mean Fork Length (mm)</w:t>
                  </w:r>
                </w:p>
              </w:tc>
              <w:tc>
                <w:tcPr/>
                <w:p>
                  <w:pPr>
                    <w:pStyle w:val="Compact"/>
                    <w:jc w:val="right"/>
                    <w:jc w:val="center"/>
                  </w:pPr>
                  <w:r>
                    <w:t xml:space="preserve">Number Released</w:t>
                  </w:r>
                </w:p>
              </w:tc>
              <w:tc>
                <w:tcPr/>
                <w:p>
                  <w:pPr>
                    <w:pStyle w:val="Compact"/>
                    <w:jc w:val="right"/>
                    <w:jc w:val="center"/>
                  </w:pPr>
                  <w:r>
                    <w:t xml:space="preserve">Estimated Survival</w:t>
                  </w:r>
                </w:p>
              </w:tc>
              <w:tc>
                <w:tcPr/>
                <w:p>
                  <w:pPr>
                    <w:pStyle w:val="Compact"/>
                    <w:jc w:val="left"/>
                    <w:jc w:val="center"/>
                  </w:pPr>
                  <w:r>
                    <w:t xml:space="preserve">Juvenile Production Estimate</w:t>
                  </w:r>
                </w:p>
              </w:tc>
            </w:tr>
            <w:tr>
              <w:tc>
                <w:tcPr/>
                <w:p>
                  <w:pPr>
                    <w:pStyle w:val="Compact"/>
                    <w:jc w:val="left"/>
                    <w:jc w:val="center"/>
                  </w:pPr>
                  <w:r>
                    <w:t xml:space="preserve">Nimbus</w:t>
                  </w:r>
                </w:p>
              </w:tc>
              <w:tc>
                <w:tcPr/>
                <w:p>
                  <w:pPr>
                    <w:pStyle w:val="Compact"/>
                    <w:jc w:val="right"/>
                    <w:jc w:val="center"/>
                  </w:pPr>
                  <w:r>
                    <w:t xml:space="preserve">2025-11-02</w:t>
                  </w:r>
                </w:p>
              </w:tc>
              <w:tc>
                <w:tcPr/>
                <w:p>
                  <w:pPr>
                    <w:pStyle w:val="Compact"/>
                    <w:jc w:val="right"/>
                    <w:jc w:val="center"/>
                  </w:pPr>
                  <w:r>
                    <w:t xml:space="preserve">223</w:t>
                  </w:r>
                </w:p>
              </w:tc>
              <w:tc>
                <w:tcPr/>
                <w:p>
                  <w:pPr>
                    <w:pStyle w:val="Compact"/>
                    <w:jc w:val="right"/>
                    <w:jc w:val="center"/>
                  </w:pPr>
                  <w:r>
                    <w:t xml:space="preserve">233,109</w:t>
                  </w:r>
                </w:p>
              </w:tc>
              <w:tc>
                <w:tcPr/>
                <w:p>
                  <w:pPr>
                    <w:pStyle w:val="Compact"/>
                    <w:jc w:val="right"/>
                    <w:jc w:val="center"/>
                  </w:pPr>
                  <w:r>
                    <w:t xml:space="preserve">72%</w:t>
                  </w:r>
                </w:p>
              </w:tc>
              <w:tc>
                <w:tcPr/>
                <w:p>
                  <w:pPr>
                    <w:pStyle w:val="Compact"/>
                    <w:jc w:val="left"/>
                    <w:jc w:val="center"/>
                  </w:pPr>
                  <w:r>
                    <w:t xml:space="preserve">167,838</w:t>
                  </w:r>
                </w:p>
              </w:tc>
            </w:tr>
            <w:tr>
              <w:tc>
                <w:tcPr/>
                <w:p>
                  <w:pPr>
                    <w:pStyle w:val="Compact"/>
                    <w:jc w:val="left"/>
                    <w:jc w:val="center"/>
                  </w:pPr>
                  <w:r>
                    <w:t xml:space="preserve">Coleman</w:t>
                  </w:r>
                </w:p>
              </w:tc>
              <w:tc>
                <w:tcPr/>
                <w:p>
                  <w:pPr>
                    <w:pStyle w:val="Compact"/>
                    <w:jc w:val="right"/>
                    <w:jc w:val="center"/>
                  </w:pPr>
                  <w:r>
                    <w:t xml:space="preserve">2025-12-19</w:t>
                  </w:r>
                </w:p>
              </w:tc>
              <w:tc>
                <w:tcPr/>
                <w:p>
                  <w:pPr>
                    <w:pStyle w:val="Compact"/>
                    <w:jc w:val="right"/>
                    <w:jc w:val="center"/>
                  </w:pPr>
                  <w:r>
                    <w:t xml:space="preserve">195</w:t>
                  </w:r>
                </w:p>
              </w:tc>
              <w:tc>
                <w:tcPr/>
                <w:p>
                  <w:pPr>
                    <w:pStyle w:val="Compact"/>
                    <w:jc w:val="right"/>
                    <w:jc w:val="center"/>
                  </w:pPr>
                  <w:r>
                    <w:t xml:space="preserve">645,739</w:t>
                  </w:r>
                </w:p>
              </w:tc>
              <w:tc>
                <w:tcPr/>
                <w:p>
                  <w:pPr>
                    <w:pStyle w:val="Compact"/>
                    <w:jc w:val="right"/>
                    <w:jc w:val="center"/>
                  </w:pPr>
                  <w:r>
                    <w:t xml:space="preserve">29%</w:t>
                  </w:r>
                </w:p>
              </w:tc>
              <w:tc>
                <w:tcPr/>
                <w:p>
                  <w:pPr>
                    <w:pStyle w:val="Compact"/>
                    <w:jc w:val="left"/>
                    <w:jc w:val="center"/>
                  </w:pPr>
                  <w:r>
                    <w:t xml:space="preserve">188,688</w:t>
                  </w:r>
                </w:p>
              </w:tc>
            </w:tr>
          </w:tbl>
          <w:bookmarkEnd w:id="56"/>
          <w:p/>
        </w:tc>
      </w:tr>
    </w:tbl>
    <w:p>
      <w:pPr>
        <w:pStyle w:val="BodyText"/>
      </w:pPr>
      <w:r>
        <w:t xml:space="preserve">Total loss of hatchery-origin steelhead is 122.07 or 3.42% of the threshold. *Note that hatchery origin of salvaged fish can 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60" w:name="fig-sh_hatch_loss"/>
          <w:p>
            <w:pPr>
              <w:pStyle w:val="Compact"/>
              <w:jc w:val="center"/>
            </w:pPr>
            <w:r>
              <w:drawing>
                <wp:inline>
                  <wp:extent cx="4000500" cy="2909454"/>
                  <wp:effectExtent b="0" l="0" r="0" t="0"/>
                  <wp:docPr descr="" title="" id="58" name="Picture"/>
                  <a:graphic>
                    <a:graphicData uri="http://schemas.openxmlformats.org/drawingml/2006/picture">
                      <pic:pic>
                        <pic:nvPicPr>
                          <pic:cNvPr descr="samt-assessment-v1_files/figure-docx/fig-sh_hatch_loss-1.png" id="59" name="Picture"/>
                          <pic:cNvPicPr>
                            <a:picLocks noChangeArrowheads="1" noChangeAspect="1"/>
                          </pic:cNvPicPr>
                        </pic:nvPicPr>
                        <pic:blipFill>
                          <a:blip r:embed="rId57"/>
                          <a:stretch>
                            <a:fillRect/>
                          </a:stretch>
                        </pic:blipFill>
                        <pic:spPr bwMode="auto">
                          <a:xfrm>
                            <a:off x="0" y="0"/>
                            <a:ext cx="4000500" cy="2909454"/>
                          </a:xfrm>
                          <a:prstGeom prst="rect">
                            <a:avLst/>
                          </a:prstGeom>
                          <a:noFill/>
                          <a:ln w="9525">
                            <a:noFill/>
                            <a:headEnd/>
                            <a:tailEnd/>
                          </a:ln>
                        </pic:spPr>
                      </pic:pic>
                    </a:graphicData>
                  </a:graphic>
                </wp:inline>
              </w:drawing>
            </w:r>
          </w:p>
          <w:p>
            <w:pPr>
              <w:jc w:val="center"/>
            </w:pPr>
            <w:pPr>
              <w:jc w:val="left"/>
              <w:spacing w:before="200"/>
              <w:pStyle w:val="ImageCaption"/>
            </w:pPr>
            <w:r>
              <w:t xml:space="preserve">Figure 6: Cumulative loss of hatchery steelhead for WY 2026.</w:t>
            </w:r>
          </w:p>
          <w:bookmarkEnd w:id="60"/>
        </w:tc>
      </w:tr>
    </w:tbl>
    <w:bookmarkEnd w:id="61"/>
    <w:bookmarkEnd w:id="62"/>
    <w:bookmarkStart w:id="68" w:name="spring-run"/>
    <w:p>
      <w:pPr>
        <w:pStyle w:val="Heading3"/>
      </w:pPr>
      <w:r>
        <w:t xml:space="preserve">Spring-run</w:t>
      </w:r>
    </w:p>
    <w:bookmarkStart w:id="64" w:name="current-status-2"/>
    <w:p>
      <w:pPr>
        <w:pStyle w:val="Heading4"/>
      </w:pPr>
      <w:r>
        <w:t xml:space="preserve">Current Status</w:t>
      </w:r>
    </w:p>
    <w:p>
      <w:pPr>
        <w:pStyle w:val="FirstParagraph"/>
      </w:pPr>
      <w:r>
        <w:rPr>
          <w:i/>
          <w:iCs/>
        </w:rPr>
        <w:t xml:space="preserve">Delta Entry Timing</w:t>
      </w:r>
      <w:r>
        <w:t xml:space="preserve">- Historically, as of Jan 12, 26% of LAD spring run have entered the delta based on Knights Landing RST catch, 0% have exited the delta based on Chipps Island Trawl Catch, and 0% have been salvaged.</w:t>
      </w:r>
    </w:p>
    <w:tbl>
      <w:tblPr>
        <w:tblStyle w:val="Table"/>
        <w:tblW w:type="pct" w:w="5000"/>
        <w:tblLayout w:type="fixed"/>
        <w:tblLook w:firstRow="0" w:lastRow="0" w:firstColumn="0" w:lastColumn="0" w:noHBand="0" w:noVBand="0" w:val="0000"/>
      </w:tblPr>
      <w:tblGrid>
        <w:gridCol w:w="7920"/>
      </w:tblGrid>
      <w:tr>
        <w:tc>
          <w:tcPr/>
          <w:bookmarkStart w:id="63" w:name="tbl-sr_timing_table"/>
          <w:p>
            <w:pPr>
              <w:jc w:val="center"/>
            </w:pPr>
            <w:pPr>
              <w:jc w:val="left"/>
              <w:spacing w:before="200"/>
              <w:pStyle w:val="ImageCaption"/>
            </w:pPr>
            <w:r>
              <w:t xml:space="preserve">Table 4: Average Percent of annual emigrating population for LAD Spring-run Chinook Salmon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980"/>
              <w:gridCol w:w="1357"/>
              <w:gridCol w:w="678"/>
              <w:gridCol w:w="1131"/>
              <w:gridCol w:w="1188"/>
              <w:gridCol w:w="1131"/>
              <w:gridCol w:w="45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Spring-run, Unclipped</w:t>
                  </w:r>
                </w:p>
              </w:tc>
              <w:tc>
                <w:tcPr/>
                <w:p>
                  <w:pPr>
                    <w:pStyle w:val="Compact"/>
                    <w:jc w:val="right"/>
                    <w:jc w:val="center"/>
                  </w:pPr>
                  <w:r>
                    <w:t xml:space="preserve">12%</w:t>
                  </w:r>
                </w:p>
              </w:tc>
              <w:tc>
                <w:tcPr/>
                <w:p>
                  <w:pPr>
                    <w:pStyle w:val="Compact"/>
                    <w:jc w:val="right"/>
                    <w:jc w:val="center"/>
                  </w:pPr>
                  <w:r>
                    <w:t xml:space="preserve">14%</w:t>
                  </w:r>
                </w:p>
              </w:tc>
              <w:tc>
                <w:tcPr/>
                <w:p>
                  <w:pPr>
                    <w:pStyle w:val="Compact"/>
                    <w:jc w:val="right"/>
                    <w:jc w:val="center"/>
                  </w:pPr>
                  <w:r>
                    <w:t xml:space="preserve">26%</w:t>
                  </w:r>
                </w:p>
              </w:tc>
              <w:tc>
                <w:tcPr/>
                <w:p>
                  <w:pPr>
                    <w:pStyle w:val="Compact"/>
                    <w:jc w:val="right"/>
                    <w:jc w:val="center"/>
                  </w:pPr>
                  <w:r>
                    <w:t xml:space="preserve">2%</w:t>
                  </w:r>
                </w:p>
              </w:tc>
              <w:tc>
                <w:tcPr/>
                <w:p>
                  <w:pPr>
                    <w:pStyle w:val="Compact"/>
                    <w:jc w:val="right"/>
                    <w:jc w:val="center"/>
                  </w:pPr>
                  <w:r>
                    <w:t xml:space="preserve">0%</w:t>
                  </w:r>
                </w:p>
              </w:tc>
              <w:tc>
                <w:tcPr/>
                <w:p>
                  <w:pPr>
                    <w:pStyle w:val="Compact"/>
                    <w:jc w:val="right"/>
                    <w:jc w:val="center"/>
                  </w:pPr>
                  <w:r>
                    <w:t xml:space="preserve">0%</w:t>
                  </w:r>
                </w:p>
              </w:tc>
            </w:tr>
          </w:tbl>
          <w:bookmarkEnd w:id="63"/>
          <w:p/>
        </w:tc>
      </w:tr>
    </w:tbl>
    <w:p>
      <w:pPr>
        <w:pStyle w:val="BodyText"/>
      </w:pPr>
      <w:r>
        <w:rPr>
          <w:i/>
          <w:iCs/>
        </w:rPr>
        <w:t xml:space="preserve">Red Bluff Diversion Dam Passage Estimate</w:t>
      </w:r>
      <w:r>
        <w:t xml:space="preserve"> </w:t>
      </w:r>
      <w:r>
        <w:t xml:space="preserve">- As of Dec 16 estimated passage to date of LAD spring run at Red Bluff Diversion is approximately 0.01 million fish. *</w:t>
      </w:r>
      <w:r>
        <w:t xml:space="preserve"> </w:t>
      </w:r>
      <w:r>
        <w:rPr>
          <w:i/>
          <w:iCs/>
        </w:rPr>
        <w:t xml:space="preserve">Note that outmigration timing overlaps with winter run and fall run outmigration, and true spring run abundance likely differs from these estimates.</w:t>
      </w:r>
    </w:p>
    <w:p>
      <w:pPr>
        <w:pStyle w:val="BodyText"/>
      </w:pPr>
      <w:r>
        <w:rPr>
          <w:i/>
          <w:iCs/>
        </w:rPr>
        <w:t xml:space="preserve">Delta Monitoring</w:t>
      </w:r>
      <w:r>
        <w:t xml:space="preserve">- Total catch of LAD winter run at RSTs at Delta Entry (Tisdale, Knights Landing, Lower Sacramento River) between Dec 30 and Jan 12 is 172 individuals. Total catch at Sacramento Trawl and Beach Seines in the delta between Dec 30 and Jan 12 is 0 individuals. Total catch at Delta Exit at Chipps Island between Dec 30 and Jan 08 is 0 individuals.</w:t>
      </w:r>
    </w:p>
    <w:bookmarkEnd w:id="64"/>
    <w:bookmarkStart w:id="66" w:name="spring-run-surrogate-releases"/>
    <w:p>
      <w:pPr>
        <w:pStyle w:val="Heading4"/>
      </w:pPr>
      <w:r>
        <w:t xml:space="preserve">Spring-run Surrogate Releases</w:t>
      </w:r>
    </w:p>
    <w:p>
      <w:pPr>
        <w:pStyle w:val="FirstParagraph"/>
      </w:pPr>
      <w:r>
        <w:t xml:space="preserve">A total of 805,323 spring-run surrogate fish have been released in Water Year 2026. See details in table below.</w:t>
      </w:r>
    </w:p>
    <w:tbl>
      <w:tblPr>
        <w:tblStyle w:val="Table"/>
        <w:tblW w:type="pct" w:w="5000"/>
        <w:tblLayout w:type="fixed"/>
        <w:tblLook w:firstRow="0" w:lastRow="0" w:firstColumn="0" w:lastColumn="0" w:noHBand="0" w:noVBand="0" w:val="0000"/>
      </w:tblPr>
      <w:tblGrid>
        <w:gridCol w:w="7920"/>
      </w:tblGrid>
      <w:tr>
        <w:tc>
          <w:tcPr/>
          <w:bookmarkStart w:id="65" w:name="tbl-sr_surrogate_table"/>
          <w:p>
            <w:pPr>
              <w:jc w:val="center"/>
            </w:pPr>
            <w:pPr>
              <w:jc w:val="left"/>
              <w:spacing w:before="200"/>
              <w:pStyle w:val="ImageCaption"/>
            </w:pPr>
            <w:r>
              <w:t xml:space="preserve">Table 5: Spring-run Chinook Salmon Surrogate Releases.</w:t>
            </w:r>
          </w:p>
          <w:tbl>
            <w:tblPr>
              <w:tblStyle w:val="Table"/>
              <w:tblW w:type="pct" w:w="5000"/>
              <w:tblLayout w:type="fixed"/>
              <w:tblLook w:firstRow="1" w:lastRow="0" w:firstColumn="0" w:lastColumn="0" w:noHBand="0" w:noVBand="0" w:val="0020"/>
            </w:tblPr>
            <w:tblGrid>
              <w:gridCol w:w="748"/>
              <w:gridCol w:w="810"/>
              <w:gridCol w:w="561"/>
              <w:gridCol w:w="1434"/>
              <w:gridCol w:w="935"/>
              <w:gridCol w:w="3429"/>
            </w:tblGrid>
            <w:tr>
              <w:trPr>
                <w:tblHeader w:val="on"/>
              </w:trPr>
              <w:tc>
                <w:tcPr/>
                <w:p>
                  <w:pPr>
                    <w:pStyle w:val="Compact"/>
                    <w:jc w:val="left"/>
                    <w:jc w:val="center"/>
                  </w:pPr>
                  <w:r>
                    <w:t xml:space="preserve">Hatchery</w:t>
                  </w:r>
                </w:p>
              </w:tc>
              <w:tc>
                <w:tcPr/>
                <w:p>
                  <w:pPr>
                    <w:pStyle w:val="Compact"/>
                    <w:jc w:val="right"/>
                    <w:jc w:val="center"/>
                  </w:pPr>
                  <w:r>
                    <w:t xml:space="preserve">Release Date</w:t>
                  </w:r>
                </w:p>
              </w:tc>
              <w:tc>
                <w:tcPr/>
                <w:p>
                  <w:pPr>
                    <w:pStyle w:val="Compact"/>
                    <w:jc w:val="right"/>
                    <w:jc w:val="center"/>
                  </w:pPr>
                  <w:r>
                    <w:t xml:space="preserve">Type</w:t>
                  </w:r>
                </w:p>
              </w:tc>
              <w:tc>
                <w:tcPr/>
                <w:p>
                  <w:pPr>
                    <w:pStyle w:val="Compact"/>
                    <w:jc w:val="right"/>
                    <w:jc w:val="center"/>
                  </w:pPr>
                  <w:r>
                    <w:t xml:space="preserve"># of CWT Fish Released</w:t>
                  </w:r>
                </w:p>
              </w:tc>
              <w:tc>
                <w:tcPr/>
                <w:p>
                  <w:pPr>
                    <w:pStyle w:val="Compact"/>
                    <w:jc w:val="right"/>
                    <w:jc w:val="center"/>
                  </w:pPr>
                  <w:r>
                    <w:t xml:space="preserve">Confirmed Loss</w:t>
                  </w:r>
                </w:p>
              </w:tc>
              <w:tc>
                <w:tcPr/>
                <w:p>
                  <w:pPr>
                    <w:pStyle w:val="Compact"/>
                    <w:jc w:val="left"/>
                    <w:jc w:val="center"/>
                  </w:pPr>
                  <w:r>
                    <w:t xml:space="preserve">CWT Codes</w:t>
                  </w:r>
                </w:p>
              </w:tc>
            </w:tr>
            <w:tr>
              <w:tc>
                <w:tcPr/>
                <w:p>
                  <w:pPr>
                    <w:pStyle w:val="Compact"/>
                    <w:jc w:val="left"/>
                    <w:jc w:val="center"/>
                  </w:pPr>
                  <w:r>
                    <w:t xml:space="preserve">Coleman NFH</w:t>
                  </w:r>
                </w:p>
              </w:tc>
              <w:tc>
                <w:tcPr/>
                <w:p>
                  <w:pPr>
                    <w:pStyle w:val="Compact"/>
                    <w:jc w:val="right"/>
                    <w:jc w:val="center"/>
                  </w:pPr>
                  <w:r>
                    <w:t xml:space="preserve">2025-11-13</w:t>
                  </w:r>
                </w:p>
              </w:tc>
              <w:tc>
                <w:tcPr/>
                <w:p>
                  <w:pPr>
                    <w:pStyle w:val="Compact"/>
                    <w:jc w:val="right"/>
                    <w:jc w:val="center"/>
                  </w:pPr>
                  <w:r>
                    <w:t xml:space="preserve">Yearling</w:t>
                  </w:r>
                </w:p>
              </w:tc>
              <w:tc>
                <w:tcPr/>
                <w:p>
                  <w:pPr>
                    <w:pStyle w:val="Compact"/>
                    <w:jc w:val="right"/>
                    <w:jc w:val="center"/>
                  </w:pPr>
                  <w:r>
                    <w:t xml:space="preserve">143346</w:t>
                  </w:r>
                </w:p>
              </w:tc>
              <w:tc>
                <w:tcPr/>
                <w:p>
                  <w:pPr>
                    <w:pStyle w:val="Compact"/>
                    <w:jc w:val="right"/>
                    <w:jc w:val="center"/>
                  </w:pPr>
                  <w:r>
                    <w:t xml:space="preserve">8.7</w:t>
                  </w:r>
                </w:p>
              </w:tc>
              <w:tc>
                <w:tcPr/>
                <w:p>
                  <w:pPr>
                    <w:pStyle w:val="Compact"/>
                    <w:jc w:val="left"/>
                    <w:jc w:val="center"/>
                  </w:pPr>
                  <w:r>
                    <w:t xml:space="preserve">056808, 056809</w:t>
                  </w:r>
                </w:p>
              </w:tc>
            </w:tr>
            <w:tr>
              <w:tc>
                <w:tcPr/>
                <w:p>
                  <w:pPr>
                    <w:pStyle w:val="Compact"/>
                    <w:jc w:val="left"/>
                    <w:jc w:val="center"/>
                  </w:pPr>
                  <w:r>
                    <w:t xml:space="preserve">Coleman NFH</w:t>
                  </w:r>
                </w:p>
              </w:tc>
              <w:tc>
                <w:tcPr/>
                <w:p>
                  <w:pPr>
                    <w:pStyle w:val="Compact"/>
                    <w:jc w:val="right"/>
                    <w:jc w:val="center"/>
                  </w:pPr>
                  <w:r>
                    <w:t xml:space="preserve">2025-11-17</w:t>
                  </w:r>
                </w:p>
              </w:tc>
              <w:tc>
                <w:tcPr/>
                <w:p>
                  <w:pPr>
                    <w:pStyle w:val="Compact"/>
                    <w:jc w:val="right"/>
                    <w:jc w:val="center"/>
                  </w:pPr>
                  <w:r>
                    <w:t xml:space="preserve">Yearling</w:t>
                  </w:r>
                </w:p>
              </w:tc>
              <w:tc>
                <w:tcPr/>
                <w:p>
                  <w:pPr>
                    <w:pStyle w:val="Compact"/>
                    <w:jc w:val="right"/>
                    <w:jc w:val="center"/>
                  </w:pPr>
                  <w:r>
                    <w:t xml:space="preserve">75119</w:t>
                  </w:r>
                </w:p>
              </w:tc>
              <w:tc>
                <w:tcPr/>
                <w:p>
                  <w:pPr>
                    <w:pStyle w:val="Compact"/>
                    <w:jc w:val="right"/>
                    <w:jc w:val="center"/>
                  </w:pPr>
                  <w:r>
                    <w:t xml:space="preserve">0.0</w:t>
                  </w:r>
                </w:p>
              </w:tc>
              <w:tc>
                <w:tcPr/>
                <w:p>
                  <w:pPr>
                    <w:pStyle w:val="Compact"/>
                    <w:jc w:val="left"/>
                    <w:jc w:val="center"/>
                  </w:pPr>
                  <w:r>
                    <w:t xml:space="preserve">056810</w:t>
                  </w:r>
                </w:p>
              </w:tc>
            </w:tr>
            <w:tr>
              <w:tc>
                <w:tcPr/>
                <w:p>
                  <w:pPr>
                    <w:pStyle w:val="Compact"/>
                    <w:jc w:val="left"/>
                    <w:jc w:val="center"/>
                  </w:pPr>
                  <w:r>
                    <w:t xml:space="preserve">Coleman NFH</w:t>
                  </w:r>
                </w:p>
              </w:tc>
              <w:tc>
                <w:tcPr/>
                <w:p>
                  <w:pPr>
                    <w:pStyle w:val="Compact"/>
                    <w:jc w:val="right"/>
                    <w:jc w:val="center"/>
                  </w:pPr>
                  <w:r>
                    <w:t xml:space="preserve">2025-12-17</w:t>
                  </w:r>
                </w:p>
              </w:tc>
              <w:tc>
                <w:tcPr/>
                <w:p>
                  <w:pPr>
                    <w:pStyle w:val="Compact"/>
                    <w:jc w:val="right"/>
                    <w:jc w:val="center"/>
                  </w:pPr>
                  <w:r>
                    <w:t xml:space="preserve">Yearling</w:t>
                  </w:r>
                </w:p>
              </w:tc>
              <w:tc>
                <w:tcPr/>
                <w:p>
                  <w:pPr>
                    <w:pStyle w:val="Compact"/>
                    <w:jc w:val="right"/>
                    <w:jc w:val="center"/>
                  </w:pPr>
                  <w:r>
                    <w:t xml:space="preserve">468876</w:t>
                  </w:r>
                </w:p>
              </w:tc>
              <w:tc>
                <w:tcPr/>
                <w:p>
                  <w:pPr>
                    <w:pStyle w:val="Compact"/>
                    <w:jc w:val="right"/>
                    <w:jc w:val="center"/>
                  </w:pPr>
                  <w:r>
                    <w:t xml:space="preserve">639.9</w:t>
                  </w:r>
                </w:p>
              </w:tc>
              <w:tc>
                <w:tcPr/>
                <w:p>
                  <w:pPr>
                    <w:pStyle w:val="Compact"/>
                    <w:jc w:val="left"/>
                    <w:jc w:val="center"/>
                  </w:pPr>
                  <w:r>
                    <w:t xml:space="preserve">053700, 056806, 056811, 056812, 056814, 056815, 056817</w:t>
                  </w:r>
                </w:p>
              </w:tc>
            </w:tr>
            <w:tr>
              <w:tc>
                <w:tcPr/>
                <w:p>
                  <w:pPr>
                    <w:pStyle w:val="Compact"/>
                    <w:jc w:val="left"/>
                    <w:jc w:val="center"/>
                  </w:pPr>
                  <w:r>
                    <w:t xml:space="preserve">Coleman NFH</w:t>
                  </w:r>
                </w:p>
              </w:tc>
              <w:tc>
                <w:tcPr/>
                <w:p>
                  <w:pPr>
                    <w:pStyle w:val="Compact"/>
                    <w:jc w:val="right"/>
                    <w:jc w:val="center"/>
                  </w:pPr>
                  <w:r>
                    <w:t xml:space="preserve">2025-12-22</w:t>
                  </w:r>
                </w:p>
              </w:tc>
              <w:tc>
                <w:tcPr/>
                <w:p>
                  <w:pPr>
                    <w:pStyle w:val="Compact"/>
                    <w:jc w:val="right"/>
                    <w:jc w:val="center"/>
                  </w:pPr>
                  <w:r>
                    <w:t xml:space="preserve">Yearling</w:t>
                  </w:r>
                </w:p>
              </w:tc>
              <w:tc>
                <w:tcPr/>
                <w:p>
                  <w:pPr>
                    <w:pStyle w:val="Compact"/>
                    <w:jc w:val="right"/>
                    <w:jc w:val="center"/>
                  </w:pPr>
                  <w:r>
                    <w:t xml:space="preserve">60873</w:t>
                  </w:r>
                </w:p>
              </w:tc>
              <w:tc>
                <w:tcPr/>
                <w:p>
                  <w:pPr>
                    <w:pStyle w:val="Compact"/>
                    <w:jc w:val="right"/>
                    <w:jc w:val="center"/>
                  </w:pPr>
                  <w:r>
                    <w:t xml:space="preserve">224.1</w:t>
                  </w:r>
                </w:p>
              </w:tc>
              <w:tc>
                <w:tcPr/>
                <w:p>
                  <w:pPr>
                    <w:pStyle w:val="Compact"/>
                    <w:jc w:val="left"/>
                    <w:jc w:val="center"/>
                  </w:pPr>
                  <w:r>
                    <w:t xml:space="preserve">056813</w:t>
                  </w:r>
                </w:p>
              </w:tc>
            </w:tr>
            <w:tr>
              <w:tc>
                <w:tcPr/>
                <w:p>
                  <w:pPr>
                    <w:pStyle w:val="Compact"/>
                    <w:jc w:val="left"/>
                    <w:jc w:val="center"/>
                  </w:pPr>
                  <w:r>
                    <w:t xml:space="preserve">Coleman NFH</w:t>
                  </w:r>
                </w:p>
              </w:tc>
              <w:tc>
                <w:tcPr/>
                <w:p>
                  <w:pPr>
                    <w:pStyle w:val="Compact"/>
                    <w:jc w:val="right"/>
                    <w:jc w:val="center"/>
                  </w:pPr>
                  <w:r>
                    <w:t xml:space="preserve">2026-01-08</w:t>
                  </w:r>
                </w:p>
              </w:tc>
              <w:tc>
                <w:tcPr/>
                <w:p>
                  <w:pPr>
                    <w:pStyle w:val="Compact"/>
                    <w:jc w:val="right"/>
                    <w:jc w:val="center"/>
                  </w:pPr>
                  <w:r>
                    <w:t xml:space="preserve">Yearling</w:t>
                  </w:r>
                </w:p>
              </w:tc>
              <w:tc>
                <w:tcPr/>
                <w:p>
                  <w:pPr>
                    <w:pStyle w:val="Compact"/>
                    <w:jc w:val="right"/>
                    <w:jc w:val="center"/>
                  </w:pPr>
                  <w:r>
                    <w:t xml:space="preserve">57109</w:t>
                  </w:r>
                </w:p>
              </w:tc>
              <w:tc>
                <w:tcPr/>
                <w:p>
                  <w:pPr>
                    <w:pStyle w:val="Compact"/>
                    <w:jc w:val="right"/>
                    <w:jc w:val="center"/>
                  </w:pPr>
                  <w:r>
                    <w:t xml:space="preserve">0.0</w:t>
                  </w:r>
                </w:p>
              </w:tc>
              <w:tc>
                <w:tcPr/>
                <w:p>
                  <w:pPr>
                    <w:pStyle w:val="Compact"/>
                    <w:jc w:val="left"/>
                    <w:jc w:val="center"/>
                  </w:pPr>
                  <w:r>
                    <w:t xml:space="preserve">056816</w:t>
                  </w:r>
                </w:p>
              </w:tc>
            </w:tr>
          </w:tbl>
          <w:bookmarkEnd w:id="65"/>
          <w:p/>
        </w:tc>
      </w:tr>
    </w:tbl>
    <w:bookmarkEnd w:id="66"/>
    <w:bookmarkStart w:id="67" w:name="annual-loss-3"/>
    <w:p>
      <w:pPr>
        <w:pStyle w:val="Heading4"/>
      </w:pPr>
      <w:r>
        <w:t xml:space="preserve">Annual Loss</w:t>
      </w:r>
    </w:p>
    <w:p>
      <w:pPr>
        <w:pStyle w:val="FirstParagraph"/>
      </w:pPr>
      <w:r>
        <w:t xml:space="preserve">The annual loss threshold is 1% of the total releases, which equals 8,053 fish. As of January 12, cumulative loss is 872.69 fish or 10.84% of the annual loss threshold.</w:t>
      </w:r>
    </w:p>
    <w:bookmarkEnd w:id="67"/>
    <w:bookmarkEnd w:id="68"/>
    <w:bookmarkStart w:id="85" w:name="loss-prediction-and-trajectories"/>
    <w:p>
      <w:pPr>
        <w:pStyle w:val="Heading3"/>
      </w:pPr>
      <w:r>
        <w:t xml:space="preserve">Loss Prediction and Trajectories</w:t>
      </w:r>
    </w:p>
    <w:p>
      <w:pPr>
        <w:pStyle w:val="FirstParagraph"/>
      </w:pPr>
      <w:r>
        <w:t xml:space="preserve">The following figures display the cumulative loss trajectories relative to historical years (</w:t>
      </w:r>
      <w:r>
        <w:t xml:space="preserve">“Spaghetti Plots”</w:t>
      </w:r>
      <w:r>
        <w:t xml:space="preserve">) and the current loss predictor model outputs for Winter-run Chinook Salmon and Steelhead.</w:t>
      </w: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72" w:name="fig-loss-eval-1"/>
                <w:p>
                  <w:pPr>
                    <w:pStyle w:val="Compact"/>
                    <w:jc w:val="center"/>
                    <w:jc w:val="left"/>
                  </w:pPr>
                  <w:r>
                    <w:drawing>
                      <wp:inline>
                        <wp:extent cx="5334000" cy="3879272"/>
                        <wp:effectExtent b="0" l="0" r="0" t="0"/>
                        <wp:docPr descr="" title="" id="70" name="Picture"/>
                        <a:graphic>
                          <a:graphicData uri="http://schemas.openxmlformats.org/drawingml/2006/picture">
                            <pic:pic>
                              <pic:nvPicPr>
                                <pic:cNvPr descr="samt-assessment-v1_files/figure-docx/fig-loss-eval-1.png" id="71" name="Picture"/>
                                <pic:cNvPicPr>
                                  <a:picLocks noChangeArrowheads="1" noChangeAspect="1"/>
                                </pic:cNvPicPr>
                              </pic:nvPicPr>
                              <pic:blipFill>
                                <a:blip r:embed="rId69"/>
                                <a:stretch>
                                  <a:fillRect/>
                                </a:stretch>
                              </pic:blipFill>
                              <pic:spPr bwMode="auto">
                                <a:xfrm>
                                  <a:off x="0" y="0"/>
                                  <a:ext cx="5334000" cy="3879272"/>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7: Natural LAD Winter-Run Chinook Salmon Loss Cumulative to Date with historical years and Single Year Loss Thresholds.</w:t>
                  </w:r>
                </w:p>
                <w:bookmarkEnd w:id="72"/>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76" w:name="fig-loss-eval-2"/>
                <w:p>
                  <w:pPr>
                    <w:pStyle w:val="Compact"/>
                    <w:jc w:val="center"/>
                    <w:jc w:val="left"/>
                  </w:pPr>
                  <w:r>
                    <w:drawing>
                      <wp:inline>
                        <wp:extent cx="5334000" cy="3879272"/>
                        <wp:effectExtent b="0" l="0" r="0" t="0"/>
                        <wp:docPr descr="" title="" id="74" name="Picture"/>
                        <a:graphic>
                          <a:graphicData uri="http://schemas.openxmlformats.org/drawingml/2006/picture">
                            <pic:pic>
                              <pic:nvPicPr>
                                <pic:cNvPr descr="samt-assessment-v1_files/figure-docx/fig-loss-eval-2.png" id="75" name="Picture"/>
                                <pic:cNvPicPr>
                                  <a:picLocks noChangeArrowheads="1" noChangeAspect="1"/>
                                </pic:cNvPicPr>
                              </pic:nvPicPr>
                              <pic:blipFill>
                                <a:blip r:embed="rId73"/>
                                <a:stretch>
                                  <a:fillRect/>
                                </a:stretch>
                              </pic:blipFill>
                              <pic:spPr bwMode="auto">
                                <a:xfrm>
                                  <a:off x="0" y="0"/>
                                  <a:ext cx="5334000" cy="3879272"/>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8: Natural Central Valley Steelhead Loss Cumulative to Date with historical years and Single Year Loss Thresholds.</w:t>
                  </w:r>
                </w:p>
                <w:bookmarkEnd w:id="76"/>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80" w:name="fig-loss-eval-3"/>
                <w:p>
                  <w:pPr>
                    <w:pStyle w:val="Compact"/>
                    <w:jc w:val="center"/>
                    <w:jc w:val="left"/>
                  </w:pPr>
                  <w:r>
                    <w:drawing>
                      <wp:inline>
                        <wp:extent cx="5334000" cy="3555111"/>
                        <wp:effectExtent b="0" l="0" r="0" t="0"/>
                        <wp:docPr descr="" title="" id="78" name="Picture"/>
                        <a:graphic>
                          <a:graphicData uri="http://schemas.openxmlformats.org/drawingml/2006/picture">
                            <pic:pic>
                              <pic:nvPicPr>
                                <pic:cNvPr descr="samt-assessment-v1_files/figure-docx/fig-loss-eval-3.png" id="79" name="Picture"/>
                                <pic:cNvPicPr>
                                  <a:picLocks noChangeArrowheads="1" noChangeAspect="1"/>
                                </pic:cNvPicPr>
                              </pic:nvPicPr>
                              <pic:blipFill>
                                <a:blip r:embed="rId77"/>
                                <a:stretch>
                                  <a:fillRect/>
                                </a:stretch>
                              </pic:blipFill>
                              <pic:spPr bwMode="auto">
                                <a:xfrm>
                                  <a:off x="0" y="0"/>
                                  <a:ext cx="5334000" cy="3555111"/>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9: Estimates of Winter-run Chinook Loss generated by Loss and Salvage Predictor tool.</w:t>
                  </w:r>
                </w:p>
                <w:bookmarkEnd w:id="80"/>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84" w:name="fig-loss-eval-4"/>
                <w:p>
                  <w:pPr>
                    <w:pStyle w:val="Compact"/>
                    <w:jc w:val="center"/>
                    <w:jc w:val="left"/>
                  </w:pPr>
                  <w:r>
                    <w:drawing>
                      <wp:inline>
                        <wp:extent cx="5334000" cy="3555111"/>
                        <wp:effectExtent b="0" l="0" r="0" t="0"/>
                        <wp:docPr descr="" title="" id="82" name="Picture"/>
                        <a:graphic>
                          <a:graphicData uri="http://schemas.openxmlformats.org/drawingml/2006/picture">
                            <pic:pic>
                              <pic:nvPicPr>
                                <pic:cNvPr descr="samt-assessment-v1_files/figure-docx/fig-loss-eval-4.png" id="83" name="Picture"/>
                                <pic:cNvPicPr>
                                  <a:picLocks noChangeArrowheads="1" noChangeAspect="1"/>
                                </pic:cNvPicPr>
                              </pic:nvPicPr>
                              <pic:blipFill>
                                <a:blip r:embed="rId81"/>
                                <a:stretch>
                                  <a:fillRect/>
                                </a:stretch>
                              </pic:blipFill>
                              <pic:spPr bwMode="auto">
                                <a:xfrm>
                                  <a:off x="0" y="0"/>
                                  <a:ext cx="5334000" cy="3555111"/>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10: Estimates of Steelhead Loss generated by Loss and Salvage Predictor tool.</w:t>
                  </w:r>
                </w:p>
                <w:bookmarkEnd w:id="84"/>
              </w:tc>
            </w:tr>
          </w:tbl>
          <w:p/>
        </w:tc>
      </w:tr>
    </w:tbl>
    <w:bookmarkEnd w:id="85"/>
    <w:bookmarkStart w:id="86" w:name="evaluation"/>
    <w:p>
      <w:pPr>
        <w:pStyle w:val="Heading3"/>
      </w:pPr>
      <w:r>
        <w:t xml:space="preserve">Evaluation</w:t>
      </w:r>
    </w:p>
    <w:p>
      <w:pPr>
        <w:numPr>
          <w:ilvl w:val="0"/>
          <w:numId w:val="1002"/>
        </w:numPr>
      </w:pPr>
      <w:r>
        <w:rPr>
          <w:b/>
          <w:bCs/>
        </w:rPr>
        <w:t xml:space="preserve">What is the probability of exceeding natural or hatchery winter-run Chinook Salmon loss thresholds in the upcoming week?</w:t>
      </w:r>
    </w:p>
    <w:p>
      <w:pPr>
        <w:numPr>
          <w:ilvl w:val="0"/>
          <w:numId w:val="1000"/>
        </w:numPr>
      </w:pPr>
      <w:r>
        <w:rPr>
          <w:b/>
          <w:bCs/>
        </w:rPr>
        <w:t xml:space="preserve">LOW RISK:</w:t>
      </w:r>
      <w:r>
        <w:t xml:space="preserve"> </w:t>
      </w:r>
      <w:r>
        <w:t xml:space="preserve">Cumulative loss is currently 0% of the threshold. Current trajectory suggests the threshold is unlikely to be exceeded in the upcoming week.</w:t>
      </w:r>
    </w:p>
    <w:p>
      <w:pPr>
        <w:numPr>
          <w:ilvl w:val="0"/>
          <w:numId w:val="1002"/>
        </w:numPr>
      </w:pPr>
      <w:r>
        <w:rPr>
          <w:b/>
          <w:bCs/>
        </w:rPr>
        <w:t xml:space="preserve">What is the probability of spring-run hatchery Chinook Salmon loss thresholds in the upcoming week?</w:t>
      </w:r>
    </w:p>
    <w:p>
      <w:pPr>
        <w:numPr>
          <w:ilvl w:val="0"/>
          <w:numId w:val="1000"/>
        </w:numPr>
      </w:pPr>
      <w:r>
        <w:rPr>
          <w:b/>
          <w:bCs/>
        </w:rPr>
        <w:t xml:space="preserve">LOW RISK:</w:t>
      </w:r>
      <w:r>
        <w:t xml:space="preserve"> </w:t>
      </w:r>
      <w:r>
        <w:t xml:space="preserve">Cumulative loss is currently 10.8% of the threshold. Current trajectory suggests the threshold is unlikely to be exceeded in the upcoming week.</w:t>
      </w:r>
    </w:p>
    <w:p>
      <w:pPr>
        <w:numPr>
          <w:ilvl w:val="0"/>
          <w:numId w:val="1002"/>
        </w:numPr>
      </w:pPr>
      <w:r>
        <w:rPr>
          <w:b/>
          <w:bCs/>
        </w:rPr>
        <w:t xml:space="preserve">What is the probability of hatchery Steelhead loss thresholds in the upcoming week?</w:t>
      </w:r>
    </w:p>
    <w:p>
      <w:pPr>
        <w:numPr>
          <w:ilvl w:val="0"/>
          <w:numId w:val="1000"/>
        </w:numPr>
      </w:pPr>
      <w:r>
        <w:rPr>
          <w:b/>
          <w:bCs/>
        </w:rPr>
        <w:t xml:space="preserve">LOW RISK:</w:t>
      </w:r>
      <w:r>
        <w:t xml:space="preserve"> </w:t>
      </w:r>
      <w:r>
        <w:t xml:space="preserve">Cumulative loss is currently 3.4% of the threshold. Current trajectory suggests the threshold is unlikely to be exceeded in the upcoming week.</w:t>
      </w:r>
    </w:p>
    <w:bookmarkEnd w:id="86"/>
    <w:bookmarkEnd w:id="8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9" Target="media/rId69.png" /><Relationship Type="http://schemas.openxmlformats.org/officeDocument/2006/relationships/image" Id="rId73" Target="media/rId73.png" /><Relationship Type="http://schemas.openxmlformats.org/officeDocument/2006/relationships/image" Id="rId77" Target="media/rId77.png" /><Relationship Type="http://schemas.openxmlformats.org/officeDocument/2006/relationships/image" Id="rId81" Target="media/rId81.png" /><Relationship Type="http://schemas.openxmlformats.org/officeDocument/2006/relationships/image" Id="rId57" Target="media/rId57.png" /><Relationship Type="http://schemas.openxmlformats.org/officeDocument/2006/relationships/image" Id="rId50" Target="media/rId50.png" /><Relationship Type="http://schemas.openxmlformats.org/officeDocument/2006/relationships/image" Id="rId38" Target="media/rId38.png" /><Relationship Type="http://schemas.openxmlformats.org/officeDocument/2006/relationships/image" Id="rId34" Target="media/rId34.png" /><Relationship Type="http://schemas.openxmlformats.org/officeDocument/2006/relationships/image" Id="rId30" Target="media/rId30.png" /><Relationship Type="http://schemas.openxmlformats.org/officeDocument/2006/relationships/image" Id="rId25" Target="media/rId25.png" /><Relationship Type="http://schemas.openxmlformats.org/officeDocument/2006/relationships/hyperlink" Id="rId20" Target="https://www.cbr.washington.edu/sacramento/workgroups/salmon_monitoring.html" TargetMode="External" /></Relationships>
</file>

<file path=word/_rels/footnotes.xml.rels><?xml version="1.0" encoding="UTF-8"?><Relationships xmlns="http://schemas.openxmlformats.org/package/2006/relationships"><Relationship Type="http://schemas.openxmlformats.org/officeDocument/2006/relationships/hyperlink" Id="rId20" Target="https://www.cbr.washington.edu/sacramento/workgroups/salmon_monitoring.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2026-01-14T00:02:33Z</dcterms:created>
  <dcterms:modified xsi:type="dcterms:W3CDTF">2026-01-14T00:02:33Z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